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C225" w14:textId="75F4EBFA" w:rsidR="00783848" w:rsidRDefault="00783848" w:rsidP="00783848">
      <w:pPr>
        <w:rPr>
          <w:rFonts w:ascii="Calibri" w:eastAsia="Calibri" w:hAnsi="Calibri" w:cs="Calibri"/>
          <w:noProof/>
        </w:rPr>
      </w:pPr>
      <w:r>
        <w:rPr>
          <w:rFonts w:ascii="Calibri" w:eastAsia="Calibri" w:hAnsi="Calibri" w:cs="Calibri"/>
          <w:noProof/>
        </w:rPr>
        <w:drawing>
          <wp:inline distT="0" distB="0" distL="0" distR="0" wp14:anchorId="0A94ABA6" wp14:editId="077A32A1">
            <wp:extent cx="8001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a:ln>
                      <a:noFill/>
                    </a:ln>
                  </pic:spPr>
                </pic:pic>
              </a:graphicData>
            </a:graphic>
          </wp:inline>
        </w:drawing>
      </w:r>
    </w:p>
    <w:p w14:paraId="2973660D" w14:textId="408A5609" w:rsidR="00407C98" w:rsidRPr="00C53CC3" w:rsidRDefault="00DB10CD" w:rsidP="00DB10CD">
      <w:pPr>
        <w:jc w:val="cente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CC3">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COBRA Cheat Sheet</w:t>
      </w:r>
    </w:p>
    <w:p w14:paraId="5C6AB952" w14:textId="77777777" w:rsidR="00DB10CD" w:rsidRDefault="00DB10CD">
      <w:pPr>
        <w:sectPr w:rsidR="00DB10CD" w:rsidSect="00783848">
          <w:pgSz w:w="12240" w:h="15840"/>
          <w:pgMar w:top="1440" w:right="1440" w:bottom="1440" w:left="1440" w:header="720" w:footer="720" w:gutter="0"/>
          <w:pgBorders w:offsetFrom="page">
            <w:top w:val="threeDEmboss" w:sz="24" w:space="24" w:color="4472C4" w:themeColor="accent1"/>
            <w:left w:val="threeDEmboss" w:sz="24" w:space="24" w:color="4472C4" w:themeColor="accent1"/>
            <w:bottom w:val="threeDEngrave" w:sz="24" w:space="24" w:color="4472C4" w:themeColor="accent1"/>
            <w:right w:val="threeDEngrave" w:sz="24" w:space="24" w:color="4472C4" w:themeColor="accent1"/>
          </w:pgBorders>
          <w:cols w:space="720"/>
          <w:docGrid w:linePitch="360"/>
        </w:sectPr>
      </w:pPr>
    </w:p>
    <w:p w14:paraId="161370D0" w14:textId="7AEC75A8" w:rsidR="00DB10CD" w:rsidRDefault="00DB10CD"/>
    <w:p w14:paraId="3C64604C" w14:textId="2902048D" w:rsidR="00DB10CD" w:rsidRPr="00C53CC3" w:rsidRDefault="00DB10CD" w:rsidP="008C7882">
      <w:pPr>
        <w:pBdr>
          <w:bar w:val="single" w:sz="4" w:color="auto"/>
        </w:pBdr>
        <w:shd w:val="clear" w:color="auto" w:fill="D9D9D9" w:themeFill="background1" w:themeFillShade="D9"/>
        <w:rPr>
          <w:b/>
          <w:bCs/>
          <w:color w:val="2F5496" w:themeColor="accent1" w:themeShade="BF"/>
          <w:sz w:val="20"/>
          <w:szCs w:val="20"/>
        </w:rPr>
      </w:pPr>
      <w:r w:rsidRPr="00C53CC3">
        <w:rPr>
          <w:b/>
          <w:bCs/>
          <w:color w:val="2F5496" w:themeColor="accent1" w:themeShade="BF"/>
          <w:sz w:val="20"/>
          <w:szCs w:val="20"/>
        </w:rPr>
        <w:t>Plans Subject to COBRA</w:t>
      </w:r>
    </w:p>
    <w:p w14:paraId="6BBA3488" w14:textId="63A10F73" w:rsidR="00DB10CD" w:rsidRPr="004B6CB5" w:rsidRDefault="00DB10CD">
      <w:pPr>
        <w:rPr>
          <w:sz w:val="20"/>
          <w:szCs w:val="20"/>
        </w:rPr>
      </w:pPr>
      <w:r w:rsidRPr="004B6CB5">
        <w:rPr>
          <w:sz w:val="20"/>
          <w:szCs w:val="20"/>
        </w:rPr>
        <w:t>-Medical, dental and vision</w:t>
      </w:r>
    </w:p>
    <w:p w14:paraId="3344FDAF" w14:textId="14EF97E0" w:rsidR="00DB10CD" w:rsidRDefault="00DB10CD">
      <w:pPr>
        <w:rPr>
          <w:sz w:val="20"/>
          <w:szCs w:val="20"/>
        </w:rPr>
      </w:pPr>
      <w:r w:rsidRPr="004B6CB5">
        <w:rPr>
          <w:sz w:val="20"/>
          <w:szCs w:val="20"/>
        </w:rPr>
        <w:t>-Health FSA</w:t>
      </w:r>
      <w:r w:rsidR="00DE22A1">
        <w:rPr>
          <w:sz w:val="20"/>
          <w:szCs w:val="20"/>
        </w:rPr>
        <w:t xml:space="preserve"> – full and limited Health FSAs</w:t>
      </w:r>
    </w:p>
    <w:p w14:paraId="46A2185C" w14:textId="4DD54724" w:rsidR="0084559B" w:rsidRPr="004B6CB5" w:rsidRDefault="0084559B">
      <w:pPr>
        <w:rPr>
          <w:sz w:val="20"/>
          <w:szCs w:val="20"/>
        </w:rPr>
      </w:pPr>
      <w:r>
        <w:rPr>
          <w:sz w:val="20"/>
          <w:szCs w:val="20"/>
        </w:rPr>
        <w:t>-Employee Assistance Plan (EAP)</w:t>
      </w:r>
    </w:p>
    <w:p w14:paraId="6F17CF91" w14:textId="6E9822BA" w:rsidR="00DB10CD" w:rsidRPr="004B6CB5" w:rsidRDefault="00DB10CD">
      <w:pPr>
        <w:rPr>
          <w:sz w:val="20"/>
          <w:szCs w:val="20"/>
        </w:rPr>
      </w:pPr>
      <w:r w:rsidRPr="004B6CB5">
        <w:rPr>
          <w:sz w:val="20"/>
          <w:szCs w:val="20"/>
        </w:rPr>
        <w:t>COBRA does not apply to health savings accounts (HSAs), long-term care policies, life insurance, disability insurance.</w:t>
      </w:r>
    </w:p>
    <w:p w14:paraId="29D8C7F7" w14:textId="77777777" w:rsidR="005D317B" w:rsidRDefault="005D317B" w:rsidP="005D317B">
      <w:pPr>
        <w:rPr>
          <w:b/>
          <w:bCs/>
          <w:color w:val="2F5496" w:themeColor="accent1" w:themeShade="BF"/>
          <w:sz w:val="20"/>
          <w:szCs w:val="20"/>
          <w:shd w:val="clear" w:color="auto" w:fill="D9D9D9" w:themeFill="background1" w:themeFillShade="D9"/>
        </w:rPr>
      </w:pPr>
      <w:r w:rsidRPr="008C7882">
        <w:rPr>
          <w:b/>
          <w:bCs/>
          <w:color w:val="2F5496" w:themeColor="accent1" w:themeShade="BF"/>
          <w:sz w:val="20"/>
          <w:szCs w:val="20"/>
          <w:shd w:val="clear" w:color="auto" w:fill="D9D9D9" w:themeFill="background1" w:themeFillShade="D9"/>
        </w:rPr>
        <w:t>Qualifying Events:</w:t>
      </w:r>
      <w:r>
        <w:rPr>
          <w:b/>
          <w:bCs/>
          <w:color w:val="2F5496" w:themeColor="accent1" w:themeShade="BF"/>
          <w:sz w:val="20"/>
          <w:szCs w:val="20"/>
          <w:shd w:val="clear" w:color="auto" w:fill="D9D9D9" w:themeFill="background1" w:themeFillShade="D9"/>
        </w:rPr>
        <w:t xml:space="preserve"> </w:t>
      </w:r>
    </w:p>
    <w:p w14:paraId="1388C4AD" w14:textId="578BD0DE" w:rsidR="005D317B" w:rsidRDefault="005D317B" w:rsidP="005D317B">
      <w:pPr>
        <w:rPr>
          <w:sz w:val="20"/>
          <w:szCs w:val="20"/>
        </w:rPr>
      </w:pPr>
      <w:r>
        <w:rPr>
          <w:b/>
          <w:bCs/>
          <w:color w:val="2F5496" w:themeColor="accent1" w:themeShade="BF"/>
          <w:sz w:val="20"/>
          <w:szCs w:val="20"/>
          <w:shd w:val="clear" w:color="auto" w:fill="D9D9D9" w:themeFill="background1" w:themeFillShade="D9"/>
        </w:rPr>
        <w:t xml:space="preserve"> </w:t>
      </w:r>
      <w:r w:rsidRPr="004B6CB5">
        <w:rPr>
          <w:sz w:val="20"/>
          <w:szCs w:val="20"/>
        </w:rPr>
        <w:t xml:space="preserve">A qualifying event is one that would cause an employee </w:t>
      </w:r>
      <w:r>
        <w:rPr>
          <w:sz w:val="20"/>
          <w:szCs w:val="20"/>
        </w:rPr>
        <w:t xml:space="preserve">and/or dependent </w:t>
      </w:r>
      <w:r w:rsidRPr="004B6CB5">
        <w:rPr>
          <w:sz w:val="20"/>
          <w:szCs w:val="20"/>
        </w:rPr>
        <w:t xml:space="preserve">who had group health coverage to lose that coverage. </w:t>
      </w:r>
    </w:p>
    <w:p w14:paraId="07D6DBBA" w14:textId="2A26E5BB" w:rsidR="0084559B" w:rsidRPr="0084559B" w:rsidRDefault="005D317B" w:rsidP="002542D3">
      <w:pPr>
        <w:rPr>
          <w:i/>
          <w:iCs/>
          <w:sz w:val="20"/>
          <w:szCs w:val="20"/>
        </w:rPr>
      </w:pPr>
      <w:r>
        <w:rPr>
          <w:noProof/>
        </w:rPr>
        <w:drawing>
          <wp:anchor distT="0" distB="0" distL="114300" distR="114300" simplePos="0" relativeHeight="251658240" behindDoc="0" locked="0" layoutInCell="1" allowOverlap="1" wp14:anchorId="77E5348D" wp14:editId="3310A7E5">
            <wp:simplePos x="0" y="0"/>
            <wp:positionH relativeFrom="margin">
              <wp:align>right</wp:align>
            </wp:positionH>
            <wp:positionV relativeFrom="paragraph">
              <wp:posOffset>432435</wp:posOffset>
            </wp:positionV>
            <wp:extent cx="5943600" cy="28384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838450"/>
                    </a:xfrm>
                    <a:prstGeom prst="rect">
                      <a:avLst/>
                    </a:prstGeom>
                    <a:noFill/>
                    <a:ln>
                      <a:noFill/>
                    </a:ln>
                  </pic:spPr>
                </pic:pic>
              </a:graphicData>
            </a:graphic>
            <wp14:sizeRelV relativeFrom="margin">
              <wp14:pctHeight>0</wp14:pctHeight>
            </wp14:sizeRelV>
          </wp:anchor>
        </w:drawing>
      </w:r>
      <w:r w:rsidR="0084559B" w:rsidRPr="0084559B">
        <w:rPr>
          <w:i/>
          <w:iCs/>
          <w:sz w:val="20"/>
          <w:szCs w:val="20"/>
        </w:rPr>
        <w:t xml:space="preserve">Below is a </w:t>
      </w:r>
      <w:r>
        <w:rPr>
          <w:i/>
          <w:iCs/>
          <w:sz w:val="20"/>
          <w:szCs w:val="20"/>
        </w:rPr>
        <w:t xml:space="preserve">Benelogic </w:t>
      </w:r>
      <w:r w:rsidR="0084559B" w:rsidRPr="0084559B">
        <w:rPr>
          <w:i/>
          <w:iCs/>
          <w:sz w:val="20"/>
          <w:szCs w:val="20"/>
        </w:rPr>
        <w:t xml:space="preserve">screen shot that provides the Qualified Event Termination Reason when you select </w:t>
      </w:r>
      <w:r w:rsidR="0084559B" w:rsidRPr="0084559B">
        <w:rPr>
          <w:b/>
          <w:bCs/>
          <w:i/>
          <w:iCs/>
          <w:sz w:val="20"/>
          <w:szCs w:val="20"/>
        </w:rPr>
        <w:t xml:space="preserve">“Yes” </w:t>
      </w:r>
      <w:r w:rsidR="0084559B" w:rsidRPr="0084559B">
        <w:rPr>
          <w:i/>
          <w:iCs/>
          <w:sz w:val="20"/>
          <w:szCs w:val="20"/>
        </w:rPr>
        <w:t xml:space="preserve">to </w:t>
      </w:r>
      <w:r>
        <w:rPr>
          <w:i/>
          <w:iCs/>
          <w:sz w:val="20"/>
          <w:szCs w:val="20"/>
        </w:rPr>
        <w:t>COBRA Qualifying Event:</w:t>
      </w:r>
    </w:p>
    <w:p w14:paraId="5C917364" w14:textId="50FEADFC" w:rsidR="0084559B" w:rsidRDefault="0084559B" w:rsidP="002542D3">
      <w:pPr>
        <w:rPr>
          <w:sz w:val="20"/>
          <w:szCs w:val="20"/>
        </w:rPr>
      </w:pPr>
    </w:p>
    <w:p w14:paraId="14F9F9AA" w14:textId="0EBF75B1" w:rsidR="00DB10CD" w:rsidRPr="004B6CB5" w:rsidRDefault="00DB10CD">
      <w:pPr>
        <w:rPr>
          <w:i/>
          <w:iCs/>
          <w:sz w:val="20"/>
          <w:szCs w:val="20"/>
        </w:rPr>
      </w:pPr>
      <w:r w:rsidRPr="004B6CB5">
        <w:rPr>
          <w:i/>
          <w:iCs/>
          <w:sz w:val="20"/>
          <w:szCs w:val="20"/>
        </w:rPr>
        <w:t>Qualifying Events</w:t>
      </w:r>
      <w:r w:rsidR="002542D3" w:rsidRPr="004B6CB5">
        <w:rPr>
          <w:i/>
          <w:iCs/>
          <w:sz w:val="20"/>
          <w:szCs w:val="20"/>
        </w:rPr>
        <w:t xml:space="preserve"> for Employees</w:t>
      </w:r>
      <w:r w:rsidR="00EE0F7C" w:rsidRPr="004B6CB5">
        <w:rPr>
          <w:i/>
          <w:iCs/>
          <w:sz w:val="20"/>
          <w:szCs w:val="20"/>
        </w:rPr>
        <w:t>, Spouse and Dependents:</w:t>
      </w:r>
    </w:p>
    <w:p w14:paraId="2E31010C" w14:textId="432EAD66" w:rsidR="00DB10CD" w:rsidRPr="004B6CB5" w:rsidRDefault="00DB10CD" w:rsidP="00DB10CD">
      <w:pPr>
        <w:pStyle w:val="ListParagraph"/>
        <w:numPr>
          <w:ilvl w:val="0"/>
          <w:numId w:val="2"/>
        </w:numPr>
        <w:rPr>
          <w:sz w:val="20"/>
          <w:szCs w:val="20"/>
        </w:rPr>
      </w:pPr>
      <w:r w:rsidRPr="004B6CB5">
        <w:rPr>
          <w:sz w:val="20"/>
          <w:szCs w:val="20"/>
        </w:rPr>
        <w:t xml:space="preserve">Voluntary or involuntary termination of employment for reasons other than gross misconduct.  </w:t>
      </w:r>
    </w:p>
    <w:p w14:paraId="781DC73E" w14:textId="71FC827A" w:rsidR="00DB10CD" w:rsidRDefault="00DB10CD" w:rsidP="00DB10CD">
      <w:pPr>
        <w:pStyle w:val="ListParagraph"/>
        <w:numPr>
          <w:ilvl w:val="0"/>
          <w:numId w:val="2"/>
        </w:numPr>
        <w:rPr>
          <w:sz w:val="20"/>
          <w:szCs w:val="20"/>
        </w:rPr>
      </w:pPr>
      <w:r w:rsidRPr="004B6CB5">
        <w:rPr>
          <w:sz w:val="20"/>
          <w:szCs w:val="20"/>
        </w:rPr>
        <w:t xml:space="preserve">Reduction in the number of hours of employment if employee is no longer eligible for coverage.  The reduction in hours is based on the </w:t>
      </w:r>
      <w:r w:rsidRPr="00C53CC3">
        <w:rPr>
          <w:b/>
          <w:bCs/>
          <w:sz w:val="20"/>
          <w:szCs w:val="20"/>
        </w:rPr>
        <w:t xml:space="preserve">employer </w:t>
      </w:r>
      <w:r w:rsidRPr="004B6CB5">
        <w:rPr>
          <w:sz w:val="20"/>
          <w:szCs w:val="20"/>
        </w:rPr>
        <w:t>moving the employee to an ineligible class that is not eligible for coverage – then the answer to COBRA would be “</w:t>
      </w:r>
      <w:r w:rsidRPr="004B6CB5">
        <w:rPr>
          <w:b/>
          <w:bCs/>
          <w:sz w:val="20"/>
          <w:szCs w:val="20"/>
        </w:rPr>
        <w:t>yes”</w:t>
      </w:r>
      <w:r w:rsidRPr="004B6CB5">
        <w:rPr>
          <w:sz w:val="20"/>
          <w:szCs w:val="20"/>
        </w:rPr>
        <w:t>.</w:t>
      </w:r>
    </w:p>
    <w:p w14:paraId="7F267A34" w14:textId="257B6705" w:rsidR="002735C1" w:rsidRPr="004B6CB5" w:rsidRDefault="002735C1" w:rsidP="00DB10CD">
      <w:pPr>
        <w:pStyle w:val="ListParagraph"/>
        <w:numPr>
          <w:ilvl w:val="0"/>
          <w:numId w:val="2"/>
        </w:numPr>
        <w:rPr>
          <w:sz w:val="20"/>
          <w:szCs w:val="20"/>
        </w:rPr>
      </w:pPr>
      <w:r>
        <w:rPr>
          <w:sz w:val="20"/>
          <w:szCs w:val="20"/>
        </w:rPr>
        <w:t>Death of an employee – answer “</w:t>
      </w:r>
      <w:r w:rsidRPr="002735C1">
        <w:rPr>
          <w:b/>
          <w:bCs/>
          <w:sz w:val="20"/>
          <w:szCs w:val="20"/>
        </w:rPr>
        <w:t>yes</w:t>
      </w:r>
      <w:r>
        <w:rPr>
          <w:sz w:val="20"/>
          <w:szCs w:val="20"/>
        </w:rPr>
        <w:t>” for dependents.</w:t>
      </w:r>
    </w:p>
    <w:p w14:paraId="722E21C3" w14:textId="27BA07BE" w:rsidR="00DB10CD" w:rsidRPr="004B6CB5" w:rsidRDefault="00DB10CD">
      <w:pPr>
        <w:rPr>
          <w:i/>
          <w:iCs/>
          <w:sz w:val="20"/>
          <w:szCs w:val="20"/>
        </w:rPr>
      </w:pPr>
      <w:r w:rsidRPr="004B6CB5">
        <w:rPr>
          <w:i/>
          <w:iCs/>
          <w:sz w:val="20"/>
          <w:szCs w:val="20"/>
        </w:rPr>
        <w:lastRenderedPageBreak/>
        <w:t>For spouse and dependents only</w:t>
      </w:r>
      <w:r w:rsidR="0022476E">
        <w:rPr>
          <w:i/>
          <w:iCs/>
          <w:sz w:val="20"/>
          <w:szCs w:val="20"/>
        </w:rPr>
        <w:t xml:space="preserve"> – Answer “Yes” to a qualifying COBRA event:</w:t>
      </w:r>
    </w:p>
    <w:p w14:paraId="58169437" w14:textId="276C90CF" w:rsidR="00EE0F7C" w:rsidRPr="004B6CB5" w:rsidRDefault="00EE0F7C" w:rsidP="00EE0F7C">
      <w:pPr>
        <w:pStyle w:val="ListParagraph"/>
        <w:numPr>
          <w:ilvl w:val="0"/>
          <w:numId w:val="3"/>
        </w:numPr>
        <w:rPr>
          <w:sz w:val="20"/>
          <w:szCs w:val="20"/>
        </w:rPr>
      </w:pPr>
      <w:r w:rsidRPr="004B6CB5">
        <w:rPr>
          <w:sz w:val="20"/>
          <w:szCs w:val="20"/>
        </w:rPr>
        <w:t>Divorce or legal separation from employee.</w:t>
      </w:r>
    </w:p>
    <w:p w14:paraId="0AFC2B72" w14:textId="1C91F800" w:rsidR="00EE0F7C" w:rsidRPr="004B6CB5" w:rsidRDefault="00EE0F7C" w:rsidP="00EE0F7C">
      <w:pPr>
        <w:pStyle w:val="ListParagraph"/>
        <w:numPr>
          <w:ilvl w:val="0"/>
          <w:numId w:val="3"/>
        </w:numPr>
        <w:rPr>
          <w:sz w:val="20"/>
          <w:szCs w:val="20"/>
        </w:rPr>
      </w:pPr>
      <w:r w:rsidRPr="004B6CB5">
        <w:rPr>
          <w:sz w:val="20"/>
          <w:szCs w:val="20"/>
        </w:rPr>
        <w:t>Death of covered employee</w:t>
      </w:r>
      <w:r w:rsidR="00C53CC3">
        <w:rPr>
          <w:sz w:val="20"/>
          <w:szCs w:val="20"/>
        </w:rPr>
        <w:t>.</w:t>
      </w:r>
    </w:p>
    <w:p w14:paraId="658D4CE6" w14:textId="5833142B" w:rsidR="00EE0F7C" w:rsidRDefault="00EE0F7C" w:rsidP="00EE0F7C">
      <w:pPr>
        <w:pStyle w:val="ListParagraph"/>
        <w:numPr>
          <w:ilvl w:val="0"/>
          <w:numId w:val="3"/>
        </w:numPr>
        <w:rPr>
          <w:sz w:val="20"/>
          <w:szCs w:val="20"/>
        </w:rPr>
      </w:pPr>
      <w:r w:rsidRPr="004B6CB5">
        <w:rPr>
          <w:sz w:val="20"/>
          <w:szCs w:val="20"/>
        </w:rPr>
        <w:t>Employee entitlement to Medicare</w:t>
      </w:r>
      <w:r w:rsidR="00C53CC3">
        <w:rPr>
          <w:sz w:val="20"/>
          <w:szCs w:val="20"/>
        </w:rPr>
        <w:t>.</w:t>
      </w:r>
    </w:p>
    <w:p w14:paraId="6B55DEA0" w14:textId="69A41979" w:rsidR="00DE22A1" w:rsidRDefault="00DE22A1" w:rsidP="00526DF3">
      <w:p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7882">
        <w:rPr>
          <w:b/>
          <w:bCs/>
          <w:color w:val="4472C4" w:themeColor="accent1"/>
          <w:sz w:val="20"/>
          <w:szCs w:val="20"/>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Non-Qualifying Events</w:t>
      </w:r>
      <w:r w:rsidRPr="00526DF3">
        <w:rPr>
          <w:color w:val="4472C4" w:themeColor="accent1"/>
          <w:sz w:val="20"/>
          <w:szCs w:val="20"/>
          <w:shd w:val="clear" w:color="auto" w:fill="E7E6E6" w:themeFill="background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26DF3">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6DF3" w:rsidRPr="00526DF3">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 time the employee is still eligible for coverage, COBRA is “</w:t>
      </w:r>
      <w:r w:rsidR="00526DF3" w:rsidRPr="00526DF3">
        <w:rPr>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w:t>
      </w:r>
      <w:r w:rsidR="00526DF3" w:rsidRPr="00526DF3">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3C006D2" w14:textId="0C254D28" w:rsidR="002C0318" w:rsidRPr="002C0318" w:rsidRDefault="00DE22A1" w:rsidP="00464DAE">
      <w:pPr>
        <w:pStyle w:val="ListParagraph"/>
        <w:numPr>
          <w:ilvl w:val="0"/>
          <w:numId w:val="4"/>
        </w:num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0318">
        <w:rPr>
          <w:sz w:val="20"/>
          <w:szCs w:val="20"/>
        </w:rPr>
        <w:t xml:space="preserve">Dropping coverage during open enrollment is not a qualifying event.  Answer COBRA “No” in Benelogic. </w:t>
      </w:r>
      <w:r w:rsidR="002C0318" w:rsidRPr="002C0318">
        <w:rPr>
          <w:sz w:val="20"/>
          <w:szCs w:val="20"/>
        </w:rPr>
        <w:t xml:space="preserve"> </w:t>
      </w:r>
      <w:r w:rsidR="008A1E8F" w:rsidRPr="002C0318">
        <w:rPr>
          <w:sz w:val="20"/>
          <w:szCs w:val="20"/>
        </w:rPr>
        <w:t>(If</w:t>
      </w:r>
      <w:r w:rsidR="002C0318" w:rsidRPr="002C0318">
        <w:rPr>
          <w:sz w:val="20"/>
          <w:szCs w:val="20"/>
        </w:rPr>
        <w:t xml:space="preserve"> during open enrollment</w:t>
      </w:r>
      <w:r w:rsidRPr="002C0318">
        <w:rPr>
          <w:sz w:val="20"/>
          <w:szCs w:val="20"/>
        </w:rPr>
        <w:t xml:space="preserve"> </w:t>
      </w:r>
      <w:r w:rsidR="00A57D0B">
        <w:rPr>
          <w:sz w:val="20"/>
          <w:szCs w:val="20"/>
        </w:rPr>
        <w:t xml:space="preserve">there is </w:t>
      </w:r>
      <w:r w:rsidRPr="002C0318">
        <w:rPr>
          <w:sz w:val="20"/>
          <w:szCs w:val="20"/>
        </w:rPr>
        <w:t>a qualifying event such as a divorce or legal separation</w:t>
      </w:r>
      <w:r w:rsidR="00A57D0B">
        <w:rPr>
          <w:sz w:val="20"/>
          <w:szCs w:val="20"/>
        </w:rPr>
        <w:t xml:space="preserve">, this </w:t>
      </w:r>
      <w:r w:rsidRPr="002C0318">
        <w:rPr>
          <w:sz w:val="20"/>
          <w:szCs w:val="20"/>
        </w:rPr>
        <w:t>triggers COBRA rights for the spouse</w:t>
      </w:r>
      <w:r w:rsidR="002C0318" w:rsidRPr="002C0318">
        <w:rPr>
          <w:sz w:val="20"/>
          <w:szCs w:val="20"/>
        </w:rPr>
        <w:t xml:space="preserve"> </w:t>
      </w:r>
      <w:r w:rsidR="0084559B">
        <w:rPr>
          <w:sz w:val="20"/>
          <w:szCs w:val="20"/>
        </w:rPr>
        <w:t>and</w:t>
      </w:r>
      <w:r w:rsidR="002C0318" w:rsidRPr="002C0318">
        <w:rPr>
          <w:sz w:val="20"/>
          <w:szCs w:val="20"/>
        </w:rPr>
        <w:t xml:space="preserve"> </w:t>
      </w:r>
      <w:r w:rsidR="008A1E8F" w:rsidRPr="002C0318">
        <w:rPr>
          <w:sz w:val="20"/>
          <w:szCs w:val="20"/>
        </w:rPr>
        <w:t>the COBRA</w:t>
      </w:r>
      <w:r w:rsidRPr="002C0318">
        <w:rPr>
          <w:sz w:val="20"/>
          <w:szCs w:val="20"/>
        </w:rPr>
        <w:t xml:space="preserve"> qualifying event</w:t>
      </w:r>
      <w:r w:rsidR="002C0318" w:rsidRPr="002C0318">
        <w:rPr>
          <w:sz w:val="20"/>
          <w:szCs w:val="20"/>
        </w:rPr>
        <w:t xml:space="preserve"> should be answered</w:t>
      </w:r>
      <w:r w:rsidRPr="002C0318">
        <w:rPr>
          <w:sz w:val="20"/>
          <w:szCs w:val="20"/>
        </w:rPr>
        <w:t xml:space="preserve"> “Yes” in </w:t>
      </w:r>
      <w:r w:rsidR="008A1E8F" w:rsidRPr="002C0318">
        <w:rPr>
          <w:sz w:val="20"/>
          <w:szCs w:val="20"/>
        </w:rPr>
        <w:t>Benelogic</w:t>
      </w:r>
      <w:r w:rsidR="00526DF3">
        <w:rPr>
          <w:sz w:val="20"/>
          <w:szCs w:val="20"/>
        </w:rPr>
        <w:t xml:space="preserve"> for the spouse)</w:t>
      </w:r>
      <w:r w:rsidR="002C0318" w:rsidRPr="002C0318">
        <w:rPr>
          <w:sz w:val="20"/>
          <w:szCs w:val="20"/>
        </w:rPr>
        <w:t>.</w:t>
      </w:r>
    </w:p>
    <w:p w14:paraId="0EDD1009" w14:textId="60846FC0" w:rsidR="00DE22A1" w:rsidRPr="002C0318" w:rsidRDefault="00DE22A1" w:rsidP="00464DAE">
      <w:pPr>
        <w:pStyle w:val="ListParagraph"/>
        <w:numPr>
          <w:ilvl w:val="0"/>
          <w:numId w:val="4"/>
        </w:num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0318">
        <w:rPr>
          <w:sz w:val="20"/>
          <w:szCs w:val="20"/>
        </w:rPr>
        <w:t xml:space="preserve">If the employee cancels coverage as the employee </w:t>
      </w:r>
      <w:r w:rsidRPr="002C0318">
        <w:rPr>
          <w:b/>
          <w:bCs/>
          <w:sz w:val="20"/>
          <w:szCs w:val="20"/>
        </w:rPr>
        <w:t>voluntarily</w:t>
      </w:r>
      <w:r w:rsidRPr="002C0318">
        <w:rPr>
          <w:sz w:val="20"/>
          <w:szCs w:val="20"/>
        </w:rPr>
        <w:t xml:space="preserve"> moves to a part-time position, they would not be eligible to take COBRA.  </w:t>
      </w:r>
    </w:p>
    <w:p w14:paraId="56A3CF17" w14:textId="7757779A" w:rsidR="00DE22A1" w:rsidRPr="00526DF3" w:rsidRDefault="00DE22A1" w:rsidP="007A66FB">
      <w:pPr>
        <w:pStyle w:val="ListParagraph"/>
        <w:numPr>
          <w:ilvl w:val="0"/>
          <w:numId w:val="4"/>
        </w:num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22A1">
        <w:rPr>
          <w:sz w:val="20"/>
          <w:szCs w:val="20"/>
        </w:rPr>
        <w:t xml:space="preserve">If an employee cancels </w:t>
      </w:r>
      <w:r w:rsidR="00526DF3">
        <w:rPr>
          <w:sz w:val="20"/>
          <w:szCs w:val="20"/>
        </w:rPr>
        <w:t xml:space="preserve">coverage </w:t>
      </w:r>
      <w:r w:rsidRPr="00DE22A1">
        <w:rPr>
          <w:sz w:val="20"/>
          <w:szCs w:val="20"/>
        </w:rPr>
        <w:t>to go on spouse’s plan – this is not a qualifying event</w:t>
      </w:r>
      <w:r w:rsidR="00526DF3">
        <w:rPr>
          <w:sz w:val="20"/>
          <w:szCs w:val="20"/>
        </w:rPr>
        <w:t>,</w:t>
      </w:r>
      <w:r w:rsidRPr="00DE22A1">
        <w:rPr>
          <w:sz w:val="20"/>
          <w:szCs w:val="20"/>
        </w:rPr>
        <w:t xml:space="preserve"> and COBRA should be answered as </w:t>
      </w:r>
      <w:r w:rsidRPr="00DE22A1">
        <w:rPr>
          <w:b/>
          <w:bCs/>
          <w:sz w:val="20"/>
          <w:szCs w:val="20"/>
        </w:rPr>
        <w:t>“no”.</w:t>
      </w:r>
    </w:p>
    <w:p w14:paraId="7194354B" w14:textId="3BA6AEBC" w:rsidR="00526DF3" w:rsidRPr="00DE22A1" w:rsidRDefault="00526DF3" w:rsidP="007A66FB">
      <w:pPr>
        <w:pStyle w:val="ListParagraph"/>
        <w:numPr>
          <w:ilvl w:val="0"/>
          <w:numId w:val="4"/>
        </w:num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0"/>
          <w:szCs w:val="20"/>
        </w:rPr>
        <w:t xml:space="preserve">If employee removes dependents (other than age 26) while the dependent </w:t>
      </w:r>
      <w:proofErr w:type="gramStart"/>
      <w:r>
        <w:rPr>
          <w:sz w:val="20"/>
          <w:szCs w:val="20"/>
        </w:rPr>
        <w:t>are</w:t>
      </w:r>
      <w:proofErr w:type="gramEnd"/>
      <w:r>
        <w:rPr>
          <w:sz w:val="20"/>
          <w:szCs w:val="20"/>
        </w:rPr>
        <w:t xml:space="preserve"> still eligible – COBRA should be answered as </w:t>
      </w:r>
      <w:r w:rsidRPr="00526DF3">
        <w:rPr>
          <w:b/>
          <w:bCs/>
          <w:sz w:val="20"/>
          <w:szCs w:val="20"/>
        </w:rPr>
        <w:t>“no”</w:t>
      </w:r>
      <w:r>
        <w:rPr>
          <w:sz w:val="20"/>
          <w:szCs w:val="20"/>
        </w:rPr>
        <w:t>.</w:t>
      </w:r>
    </w:p>
    <w:p w14:paraId="4636FB40" w14:textId="772BB153" w:rsidR="00EE0F7C" w:rsidRPr="0084559B" w:rsidRDefault="00EE0F7C" w:rsidP="008C7882">
      <w:pPr>
        <w:shd w:val="clear" w:color="auto" w:fill="D9D9D9" w:themeFill="background1" w:themeFillShade="D9"/>
        <w:rPr>
          <w:b/>
          <w:bCs/>
          <w:color w:val="2F5496" w:themeColor="accent1" w:themeShade="BF"/>
          <w:sz w:val="20"/>
          <w:szCs w:val="20"/>
          <w:shd w:val="clear" w:color="auto" w:fill="A6A6A6" w:themeFill="background1" w:themeFillShade="A6"/>
        </w:rPr>
      </w:pPr>
      <w:r w:rsidRPr="0084559B">
        <w:rPr>
          <w:b/>
          <w:bCs/>
          <w:color w:val="2F5496" w:themeColor="accent1" w:themeShade="BF"/>
          <w:sz w:val="20"/>
          <w:szCs w:val="20"/>
          <w:shd w:val="clear" w:color="auto" w:fill="E7E6E6" w:themeFill="background2"/>
        </w:rPr>
        <w:t>Qualifying Beneficiaries</w:t>
      </w:r>
      <w:r w:rsidRPr="0084559B">
        <w:rPr>
          <w:b/>
          <w:bCs/>
          <w:color w:val="2F5496" w:themeColor="accent1" w:themeShade="BF"/>
          <w:sz w:val="20"/>
          <w:szCs w:val="20"/>
          <w:shd w:val="clear" w:color="auto" w:fill="A6A6A6" w:themeFill="background1" w:themeFillShade="A6"/>
        </w:rPr>
        <w:t>:</w:t>
      </w:r>
    </w:p>
    <w:p w14:paraId="686B4B68" w14:textId="22817B40"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xml:space="preserve">Under COBRA, </w:t>
      </w:r>
      <w:r w:rsidRPr="004B6CB5">
        <w:rPr>
          <w:rFonts w:cs="Arial-BoldMT"/>
          <w:b/>
          <w:bCs/>
          <w:sz w:val="20"/>
          <w:szCs w:val="20"/>
        </w:rPr>
        <w:t xml:space="preserve">qualified beneficiaries </w:t>
      </w:r>
      <w:r w:rsidRPr="004B6CB5">
        <w:rPr>
          <w:rFonts w:cs="ArialMT"/>
          <w:sz w:val="20"/>
          <w:szCs w:val="20"/>
        </w:rPr>
        <w:t xml:space="preserve">have special rights that are not available otherwise.  </w:t>
      </w:r>
      <w:r w:rsidRPr="00121556">
        <w:rPr>
          <w:rFonts w:cs="ArialMT"/>
          <w:b/>
          <w:bCs/>
          <w:sz w:val="20"/>
          <w:szCs w:val="20"/>
        </w:rPr>
        <w:t>To be a qualified beneficiary</w:t>
      </w:r>
      <w:r w:rsidRPr="004B6CB5">
        <w:rPr>
          <w:rFonts w:cs="ArialMT"/>
          <w:sz w:val="20"/>
          <w:szCs w:val="20"/>
        </w:rPr>
        <w:t>, an individual must be covered under the plan the day before the qualifying event occurs and be one of the following:</w:t>
      </w:r>
    </w:p>
    <w:p w14:paraId="7738C4CC" w14:textId="77777777"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The covered employee</w:t>
      </w:r>
    </w:p>
    <w:p w14:paraId="57E2B527" w14:textId="77777777"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The covered spouse</w:t>
      </w:r>
    </w:p>
    <w:p w14:paraId="2F4C7A80" w14:textId="77777777"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A covered dependent</w:t>
      </w:r>
    </w:p>
    <w:p w14:paraId="28FA5EEB" w14:textId="26D54723"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A child born to, or placed for adoption with, the covered employee during a period of</w:t>
      </w:r>
      <w:r w:rsidR="00BC4CD0" w:rsidRPr="004B6CB5">
        <w:rPr>
          <w:rFonts w:cs="ArialMT"/>
          <w:sz w:val="20"/>
          <w:szCs w:val="20"/>
        </w:rPr>
        <w:t xml:space="preserve"> </w:t>
      </w:r>
      <w:r w:rsidRPr="004B6CB5">
        <w:rPr>
          <w:rFonts w:cs="ArialMT"/>
          <w:sz w:val="20"/>
          <w:szCs w:val="20"/>
        </w:rPr>
        <w:t>COBRA coverage.</w:t>
      </w:r>
    </w:p>
    <w:p w14:paraId="2EEE4D4A" w14:textId="77777777" w:rsidR="0084559B" w:rsidRDefault="00EE0F7C" w:rsidP="00EE0F7C">
      <w:pPr>
        <w:autoSpaceDE w:val="0"/>
        <w:autoSpaceDN w:val="0"/>
        <w:adjustRightInd w:val="0"/>
        <w:spacing w:after="0" w:line="240" w:lineRule="auto"/>
        <w:rPr>
          <w:rFonts w:cs="ArialMT"/>
          <w:sz w:val="20"/>
          <w:szCs w:val="20"/>
        </w:rPr>
      </w:pPr>
      <w:r w:rsidRPr="004B6CB5">
        <w:rPr>
          <w:rFonts w:cs="ArialMT"/>
          <w:sz w:val="20"/>
          <w:szCs w:val="20"/>
        </w:rPr>
        <w:t xml:space="preserve"> </w:t>
      </w:r>
    </w:p>
    <w:p w14:paraId="77D2C6E1" w14:textId="16F7791F"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Covered employees are:</w:t>
      </w:r>
    </w:p>
    <w:p w14:paraId="512D8C45" w14:textId="0989AE44"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Any employee or former employee covered</w:t>
      </w:r>
      <w:r w:rsidR="00BC4CD0" w:rsidRPr="004B6CB5">
        <w:rPr>
          <w:rFonts w:cs="ArialMT"/>
          <w:sz w:val="20"/>
          <w:szCs w:val="20"/>
        </w:rPr>
        <w:t xml:space="preserve"> </w:t>
      </w:r>
      <w:r w:rsidRPr="004B6CB5">
        <w:rPr>
          <w:rFonts w:cs="ArialMT"/>
          <w:sz w:val="20"/>
          <w:szCs w:val="20"/>
        </w:rPr>
        <w:t>under the group health plan</w:t>
      </w:r>
    </w:p>
    <w:p w14:paraId="36ADA1B7" w14:textId="77777777" w:rsidR="00685C44" w:rsidRPr="004B6CB5" w:rsidRDefault="00685C44" w:rsidP="00EE0F7C">
      <w:pPr>
        <w:autoSpaceDE w:val="0"/>
        <w:autoSpaceDN w:val="0"/>
        <w:adjustRightInd w:val="0"/>
        <w:spacing w:after="0" w:line="240" w:lineRule="auto"/>
        <w:rPr>
          <w:rFonts w:cs="ArialMT"/>
          <w:sz w:val="20"/>
          <w:szCs w:val="20"/>
        </w:rPr>
      </w:pPr>
    </w:p>
    <w:p w14:paraId="4891FDFF" w14:textId="77777777" w:rsidR="00EE0F7C" w:rsidRPr="00121556" w:rsidRDefault="00EE0F7C" w:rsidP="00121556">
      <w:pPr>
        <w:shd w:val="clear" w:color="auto" w:fill="D9D9D9" w:themeFill="background1" w:themeFillShade="D9"/>
        <w:autoSpaceDE w:val="0"/>
        <w:autoSpaceDN w:val="0"/>
        <w:adjustRightInd w:val="0"/>
        <w:spacing w:after="0" w:line="240" w:lineRule="auto"/>
        <w:rPr>
          <w:rFonts w:cs="DINOT-Bold"/>
          <w:b/>
          <w:bCs/>
          <w:color w:val="2F5496" w:themeColor="accent1" w:themeShade="BF"/>
          <w:sz w:val="20"/>
          <w:szCs w:val="20"/>
        </w:rPr>
      </w:pPr>
      <w:r w:rsidRPr="00121556">
        <w:rPr>
          <w:rFonts w:cs="DINOT-Bold"/>
          <w:b/>
          <w:bCs/>
          <w:color w:val="2F5496" w:themeColor="accent1" w:themeShade="BF"/>
          <w:sz w:val="20"/>
          <w:szCs w:val="20"/>
        </w:rPr>
        <w:t>COBRA Continuation Coverage</w:t>
      </w:r>
    </w:p>
    <w:p w14:paraId="348D2F8B" w14:textId="77777777" w:rsidR="005D317B" w:rsidRDefault="005D317B" w:rsidP="00EE0F7C">
      <w:pPr>
        <w:autoSpaceDE w:val="0"/>
        <w:autoSpaceDN w:val="0"/>
        <w:adjustRightInd w:val="0"/>
        <w:spacing w:after="0" w:line="240" w:lineRule="auto"/>
        <w:rPr>
          <w:rFonts w:cs="ArialMT"/>
          <w:color w:val="000000"/>
          <w:sz w:val="20"/>
          <w:szCs w:val="20"/>
        </w:rPr>
      </w:pPr>
    </w:p>
    <w:p w14:paraId="7579F2AF" w14:textId="31480FA6" w:rsidR="00EE0F7C" w:rsidRPr="004B6CB5" w:rsidRDefault="00EE0F7C" w:rsidP="00EE0F7C">
      <w:pPr>
        <w:autoSpaceDE w:val="0"/>
        <w:autoSpaceDN w:val="0"/>
        <w:adjustRightInd w:val="0"/>
        <w:spacing w:after="0" w:line="240" w:lineRule="auto"/>
        <w:rPr>
          <w:rFonts w:cs="ArialMT"/>
          <w:color w:val="000000"/>
          <w:sz w:val="20"/>
          <w:szCs w:val="20"/>
        </w:rPr>
      </w:pPr>
      <w:r w:rsidRPr="004B6CB5">
        <w:rPr>
          <w:rFonts w:cs="ArialMT"/>
          <w:color w:val="000000"/>
          <w:sz w:val="20"/>
          <w:szCs w:val="20"/>
        </w:rPr>
        <w:t>COBRA coverage must be identical to the</w:t>
      </w:r>
      <w:r w:rsidR="00685C44" w:rsidRPr="004B6CB5">
        <w:rPr>
          <w:rFonts w:cs="ArialMT"/>
          <w:color w:val="000000"/>
          <w:sz w:val="20"/>
          <w:szCs w:val="20"/>
        </w:rPr>
        <w:t xml:space="preserve"> </w:t>
      </w:r>
      <w:r w:rsidRPr="004B6CB5">
        <w:rPr>
          <w:rFonts w:cs="ArialMT"/>
          <w:color w:val="000000"/>
          <w:sz w:val="20"/>
          <w:szCs w:val="20"/>
        </w:rPr>
        <w:t>coverage that is available to “similarly situated</w:t>
      </w:r>
      <w:r w:rsidR="00685C44" w:rsidRPr="004B6CB5">
        <w:rPr>
          <w:rFonts w:cs="ArialMT"/>
          <w:color w:val="000000"/>
          <w:sz w:val="20"/>
          <w:szCs w:val="20"/>
        </w:rPr>
        <w:t xml:space="preserve"> </w:t>
      </w:r>
      <w:r w:rsidRPr="004B6CB5">
        <w:rPr>
          <w:rFonts w:cs="ArialMT"/>
          <w:color w:val="000000"/>
          <w:sz w:val="20"/>
          <w:szCs w:val="20"/>
        </w:rPr>
        <w:t>beneficiaries” (employees in the same class and/or category) under the plan that provided coverage</w:t>
      </w:r>
      <w:r w:rsidR="00685C44" w:rsidRPr="004B6CB5">
        <w:rPr>
          <w:rFonts w:cs="ArialMT"/>
          <w:color w:val="000000"/>
          <w:sz w:val="20"/>
          <w:szCs w:val="20"/>
        </w:rPr>
        <w:t xml:space="preserve"> </w:t>
      </w:r>
      <w:r w:rsidRPr="004B6CB5">
        <w:rPr>
          <w:rFonts w:cs="ArialMT"/>
          <w:color w:val="000000"/>
          <w:sz w:val="20"/>
          <w:szCs w:val="20"/>
        </w:rPr>
        <w:t>to the qualified beneficiary. This is typically the</w:t>
      </w:r>
      <w:r w:rsidR="00685C44" w:rsidRPr="004B6CB5">
        <w:rPr>
          <w:rFonts w:cs="ArialMT"/>
          <w:color w:val="000000"/>
          <w:sz w:val="20"/>
          <w:szCs w:val="20"/>
        </w:rPr>
        <w:t xml:space="preserve"> </w:t>
      </w:r>
      <w:r w:rsidRPr="004B6CB5">
        <w:rPr>
          <w:rFonts w:cs="ArialMT"/>
          <w:color w:val="000000"/>
          <w:sz w:val="20"/>
          <w:szCs w:val="20"/>
        </w:rPr>
        <w:t>same coverage the qualified beneficiary had the</w:t>
      </w:r>
      <w:r w:rsidR="00685C44" w:rsidRPr="004B6CB5">
        <w:rPr>
          <w:rFonts w:cs="ArialMT"/>
          <w:color w:val="000000"/>
          <w:sz w:val="20"/>
          <w:szCs w:val="20"/>
        </w:rPr>
        <w:t xml:space="preserve"> </w:t>
      </w:r>
      <w:r w:rsidRPr="004B6CB5">
        <w:rPr>
          <w:rFonts w:cs="ArialMT"/>
          <w:color w:val="000000"/>
          <w:sz w:val="20"/>
          <w:szCs w:val="20"/>
        </w:rPr>
        <w:t>day before the qualifying event. This coverage</w:t>
      </w:r>
      <w:r w:rsidR="00685C44" w:rsidRPr="004B6CB5">
        <w:rPr>
          <w:rFonts w:cs="ArialMT"/>
          <w:color w:val="000000"/>
          <w:sz w:val="20"/>
          <w:szCs w:val="20"/>
        </w:rPr>
        <w:t xml:space="preserve"> </w:t>
      </w:r>
      <w:r w:rsidRPr="004B6CB5">
        <w:rPr>
          <w:rFonts w:cs="ArialMT"/>
          <w:color w:val="000000"/>
          <w:sz w:val="20"/>
          <w:szCs w:val="20"/>
        </w:rPr>
        <w:t>cannot be reduced in any way or require proof of</w:t>
      </w:r>
      <w:r w:rsidR="00685C44" w:rsidRPr="004B6CB5">
        <w:rPr>
          <w:rFonts w:cs="ArialMT"/>
          <w:color w:val="000000"/>
          <w:sz w:val="20"/>
          <w:szCs w:val="20"/>
        </w:rPr>
        <w:t xml:space="preserve"> </w:t>
      </w:r>
      <w:r w:rsidRPr="004B6CB5">
        <w:rPr>
          <w:rFonts w:cs="ArialMT"/>
          <w:color w:val="000000"/>
          <w:sz w:val="20"/>
          <w:szCs w:val="20"/>
        </w:rPr>
        <w:t>insurability.</w:t>
      </w:r>
    </w:p>
    <w:p w14:paraId="2DEAAE02" w14:textId="77777777" w:rsidR="00685C44" w:rsidRPr="004B6CB5" w:rsidRDefault="00685C44" w:rsidP="00EE0F7C">
      <w:pPr>
        <w:autoSpaceDE w:val="0"/>
        <w:autoSpaceDN w:val="0"/>
        <w:adjustRightInd w:val="0"/>
        <w:spacing w:after="0" w:line="240" w:lineRule="auto"/>
        <w:rPr>
          <w:rFonts w:cs="ArialMT"/>
          <w:color w:val="000000"/>
          <w:sz w:val="20"/>
          <w:szCs w:val="20"/>
        </w:rPr>
      </w:pPr>
    </w:p>
    <w:p w14:paraId="13DCB1EA" w14:textId="5BBF857F" w:rsidR="00EE0F7C" w:rsidRPr="004B6CB5" w:rsidRDefault="00EE0F7C" w:rsidP="00EE0F7C">
      <w:pPr>
        <w:autoSpaceDE w:val="0"/>
        <w:autoSpaceDN w:val="0"/>
        <w:adjustRightInd w:val="0"/>
        <w:spacing w:after="0" w:line="240" w:lineRule="auto"/>
        <w:rPr>
          <w:rFonts w:cs="ArialMT"/>
          <w:color w:val="000000"/>
          <w:sz w:val="20"/>
          <w:szCs w:val="20"/>
        </w:rPr>
      </w:pPr>
      <w:r w:rsidRPr="004B6CB5">
        <w:rPr>
          <w:rFonts w:cs="ArialMT"/>
          <w:color w:val="000000"/>
          <w:sz w:val="20"/>
          <w:szCs w:val="20"/>
        </w:rPr>
        <w:t>Qualified beneficiaries must be given all the</w:t>
      </w:r>
      <w:r w:rsidR="00685C44" w:rsidRPr="004B6CB5">
        <w:rPr>
          <w:rFonts w:cs="ArialMT"/>
          <w:color w:val="000000"/>
          <w:sz w:val="20"/>
          <w:szCs w:val="20"/>
        </w:rPr>
        <w:t xml:space="preserve"> </w:t>
      </w:r>
      <w:r w:rsidRPr="004B6CB5">
        <w:rPr>
          <w:rFonts w:cs="ArialMT"/>
          <w:color w:val="000000"/>
          <w:sz w:val="20"/>
          <w:szCs w:val="20"/>
        </w:rPr>
        <w:t>same open enrollment rights and options that are</w:t>
      </w:r>
      <w:r w:rsidR="00121556">
        <w:rPr>
          <w:rFonts w:cs="ArialMT"/>
          <w:color w:val="000000"/>
          <w:sz w:val="20"/>
          <w:szCs w:val="20"/>
        </w:rPr>
        <w:t xml:space="preserve"> </w:t>
      </w:r>
      <w:r w:rsidRPr="004B6CB5">
        <w:rPr>
          <w:rFonts w:cs="ArialMT"/>
          <w:color w:val="000000"/>
          <w:sz w:val="20"/>
          <w:szCs w:val="20"/>
        </w:rPr>
        <w:t>given to active employees. Any open enrollment</w:t>
      </w:r>
      <w:r w:rsidR="00685C44" w:rsidRPr="004B6CB5">
        <w:rPr>
          <w:rFonts w:cs="ArialMT"/>
          <w:color w:val="000000"/>
          <w:sz w:val="20"/>
          <w:szCs w:val="20"/>
        </w:rPr>
        <w:t xml:space="preserve"> </w:t>
      </w:r>
      <w:r w:rsidRPr="004B6CB5">
        <w:rPr>
          <w:rFonts w:cs="ArialMT"/>
          <w:color w:val="000000"/>
          <w:sz w:val="20"/>
          <w:szCs w:val="20"/>
        </w:rPr>
        <w:t>materials that are provided to active employees</w:t>
      </w:r>
      <w:r w:rsidR="002C0318">
        <w:rPr>
          <w:rFonts w:cs="ArialMT"/>
          <w:color w:val="000000"/>
          <w:sz w:val="20"/>
          <w:szCs w:val="20"/>
        </w:rPr>
        <w:t xml:space="preserve"> </w:t>
      </w:r>
      <w:r w:rsidRPr="004B6CB5">
        <w:rPr>
          <w:rFonts w:cs="ArialMT"/>
          <w:color w:val="000000"/>
          <w:sz w:val="20"/>
          <w:szCs w:val="20"/>
        </w:rPr>
        <w:t>must also be provided to qualified beneficiaries.</w:t>
      </w:r>
      <w:r w:rsidR="00685C44" w:rsidRPr="004B6CB5">
        <w:rPr>
          <w:rFonts w:cs="ArialMT"/>
          <w:color w:val="000000"/>
          <w:sz w:val="20"/>
          <w:szCs w:val="20"/>
        </w:rPr>
        <w:t xml:space="preserve">  </w:t>
      </w:r>
      <w:r w:rsidRPr="004B6CB5">
        <w:rPr>
          <w:rFonts w:cs="ArialMT"/>
          <w:color w:val="000000"/>
          <w:sz w:val="20"/>
          <w:szCs w:val="20"/>
        </w:rPr>
        <w:t>If an employer modifies coverage for active</w:t>
      </w:r>
      <w:r w:rsidR="00121556">
        <w:rPr>
          <w:rFonts w:cs="ArialMT"/>
          <w:color w:val="000000"/>
          <w:sz w:val="20"/>
          <w:szCs w:val="20"/>
        </w:rPr>
        <w:t xml:space="preserve"> </w:t>
      </w:r>
      <w:r w:rsidRPr="004B6CB5">
        <w:rPr>
          <w:rFonts w:cs="ArialMT"/>
          <w:color w:val="000000"/>
          <w:sz w:val="20"/>
          <w:szCs w:val="20"/>
        </w:rPr>
        <w:t>employees, the same modifications apply to the</w:t>
      </w:r>
      <w:r w:rsidR="00685C44" w:rsidRPr="004B6CB5">
        <w:rPr>
          <w:rFonts w:cs="ArialMT"/>
          <w:color w:val="000000"/>
          <w:sz w:val="20"/>
          <w:szCs w:val="20"/>
        </w:rPr>
        <w:t xml:space="preserve"> </w:t>
      </w:r>
      <w:r w:rsidRPr="004B6CB5">
        <w:rPr>
          <w:rFonts w:cs="ArialMT"/>
          <w:color w:val="000000"/>
          <w:sz w:val="20"/>
          <w:szCs w:val="20"/>
        </w:rPr>
        <w:t>corresponding COBRA continuation coverage</w:t>
      </w:r>
      <w:r w:rsidR="00A57D0B">
        <w:rPr>
          <w:rFonts w:cs="ArialMT"/>
          <w:color w:val="000000"/>
          <w:sz w:val="20"/>
          <w:szCs w:val="20"/>
        </w:rPr>
        <w:t xml:space="preserve"> </w:t>
      </w:r>
      <w:r w:rsidRPr="004B6CB5">
        <w:rPr>
          <w:rFonts w:cs="ArialMT"/>
          <w:color w:val="000000"/>
          <w:sz w:val="20"/>
          <w:szCs w:val="20"/>
        </w:rPr>
        <w:t>(e.g., the employer changes insurance carriers or</w:t>
      </w:r>
      <w:r w:rsidR="00685C44" w:rsidRPr="004B6CB5">
        <w:rPr>
          <w:rFonts w:cs="ArialMT"/>
          <w:color w:val="000000"/>
          <w:sz w:val="20"/>
          <w:szCs w:val="20"/>
        </w:rPr>
        <w:t xml:space="preserve"> </w:t>
      </w:r>
      <w:r w:rsidRPr="004B6CB5">
        <w:rPr>
          <w:rFonts w:cs="ArialMT"/>
          <w:color w:val="000000"/>
          <w:sz w:val="20"/>
          <w:szCs w:val="20"/>
        </w:rPr>
        <w:t xml:space="preserve">changes from an </w:t>
      </w:r>
      <w:r w:rsidR="00121556">
        <w:rPr>
          <w:rFonts w:cs="ArialMT"/>
          <w:color w:val="000000"/>
          <w:sz w:val="20"/>
          <w:szCs w:val="20"/>
        </w:rPr>
        <w:t>PPO</w:t>
      </w:r>
      <w:r w:rsidRPr="004B6CB5">
        <w:rPr>
          <w:rFonts w:cs="ArialMT"/>
          <w:color w:val="000000"/>
          <w:sz w:val="20"/>
          <w:szCs w:val="20"/>
        </w:rPr>
        <w:t xml:space="preserve"> to a </w:t>
      </w:r>
      <w:r w:rsidR="00121556">
        <w:rPr>
          <w:rFonts w:cs="ArialMT"/>
          <w:color w:val="000000"/>
          <w:sz w:val="20"/>
          <w:szCs w:val="20"/>
        </w:rPr>
        <w:t>HDHP</w:t>
      </w:r>
      <w:r w:rsidRPr="004B6CB5">
        <w:rPr>
          <w:rFonts w:cs="ArialMT"/>
          <w:color w:val="000000"/>
          <w:sz w:val="20"/>
          <w:szCs w:val="20"/>
        </w:rPr>
        <w:t>).</w:t>
      </w:r>
      <w:r w:rsidR="00685C44" w:rsidRPr="004B6CB5">
        <w:rPr>
          <w:rFonts w:cs="ArialMT"/>
          <w:color w:val="000000"/>
          <w:sz w:val="20"/>
          <w:szCs w:val="20"/>
        </w:rPr>
        <w:t xml:space="preserve"> </w:t>
      </w:r>
    </w:p>
    <w:p w14:paraId="77F7E85C" w14:textId="7C9A1A2A" w:rsidR="00685C44" w:rsidRPr="004B6CB5" w:rsidRDefault="00685C44" w:rsidP="00EE0F7C">
      <w:pPr>
        <w:autoSpaceDE w:val="0"/>
        <w:autoSpaceDN w:val="0"/>
        <w:adjustRightInd w:val="0"/>
        <w:spacing w:after="0" w:line="240" w:lineRule="auto"/>
        <w:rPr>
          <w:rFonts w:cs="ArialMT"/>
          <w:color w:val="000000"/>
          <w:sz w:val="20"/>
          <w:szCs w:val="20"/>
        </w:rPr>
      </w:pPr>
    </w:p>
    <w:p w14:paraId="30812539" w14:textId="19608795" w:rsidR="00F24A32" w:rsidRDefault="00F24A32" w:rsidP="008C7882">
      <w:pPr>
        <w:shd w:val="clear" w:color="auto" w:fill="D9D9D9" w:themeFill="background1" w:themeFillShade="D9"/>
        <w:autoSpaceDE w:val="0"/>
        <w:autoSpaceDN w:val="0"/>
        <w:adjustRightInd w:val="0"/>
        <w:spacing w:after="0" w:line="240" w:lineRule="auto"/>
        <w:rPr>
          <w:rFonts w:cs="DINOT-Bold"/>
          <w:b/>
          <w:bCs/>
          <w:color w:val="2F5496" w:themeColor="accent1" w:themeShade="BF"/>
          <w:sz w:val="20"/>
          <w:szCs w:val="20"/>
          <w:shd w:val="clear" w:color="auto" w:fill="D9D9D9" w:themeFill="background1" w:themeFillShade="D9"/>
        </w:rPr>
      </w:pPr>
      <w:r w:rsidRPr="00121556">
        <w:rPr>
          <w:rFonts w:cs="DINOT-Bold"/>
          <w:b/>
          <w:bCs/>
          <w:color w:val="2F5496" w:themeColor="accent1" w:themeShade="BF"/>
          <w:sz w:val="20"/>
          <w:szCs w:val="20"/>
          <w:shd w:val="clear" w:color="auto" w:fill="D9D9D9" w:themeFill="background1" w:themeFillShade="D9"/>
        </w:rPr>
        <w:t>Duration of Coverage</w:t>
      </w:r>
    </w:p>
    <w:p w14:paraId="273E0B90" w14:textId="77777777" w:rsidR="00703DAD" w:rsidRPr="00121556" w:rsidRDefault="00703DAD" w:rsidP="00F24A32">
      <w:pPr>
        <w:autoSpaceDE w:val="0"/>
        <w:autoSpaceDN w:val="0"/>
        <w:adjustRightInd w:val="0"/>
        <w:spacing w:after="0" w:line="240" w:lineRule="auto"/>
        <w:rPr>
          <w:rFonts w:cs="DINOT-Bold"/>
          <w:b/>
          <w:bCs/>
          <w:color w:val="2F5496" w:themeColor="accent1" w:themeShade="BF"/>
          <w:sz w:val="20"/>
          <w:szCs w:val="20"/>
          <w:shd w:val="clear" w:color="auto" w:fill="D9D9D9" w:themeFill="background1" w:themeFillShade="D9"/>
        </w:rPr>
      </w:pPr>
    </w:p>
    <w:p w14:paraId="3EEAAA21" w14:textId="5D3455BF" w:rsidR="00685C44" w:rsidRDefault="00F24A32" w:rsidP="00F24A32">
      <w:pPr>
        <w:autoSpaceDE w:val="0"/>
        <w:autoSpaceDN w:val="0"/>
        <w:adjustRightInd w:val="0"/>
        <w:spacing w:after="0" w:line="240" w:lineRule="auto"/>
        <w:rPr>
          <w:rFonts w:cs="ArialMT"/>
          <w:color w:val="000000"/>
          <w:sz w:val="20"/>
          <w:szCs w:val="20"/>
        </w:rPr>
      </w:pPr>
      <w:r w:rsidRPr="004B6CB5">
        <w:rPr>
          <w:rFonts w:cs="ArialMT"/>
          <w:color w:val="000000"/>
          <w:sz w:val="20"/>
          <w:szCs w:val="20"/>
        </w:rPr>
        <w:t xml:space="preserve">Generally, the </w:t>
      </w:r>
      <w:r w:rsidRPr="004B6CB5">
        <w:rPr>
          <w:rFonts w:cs="Arial-BoldMT"/>
          <w:b/>
          <w:bCs/>
          <w:color w:val="000000"/>
          <w:sz w:val="20"/>
          <w:szCs w:val="20"/>
        </w:rPr>
        <w:t xml:space="preserve">maximum coverage period </w:t>
      </w:r>
      <w:r w:rsidRPr="004B6CB5">
        <w:rPr>
          <w:rFonts w:cs="ArialMT"/>
          <w:color w:val="000000"/>
          <w:sz w:val="20"/>
          <w:szCs w:val="20"/>
        </w:rPr>
        <w:t xml:space="preserve">(the </w:t>
      </w:r>
      <w:r w:rsidR="008A1E8F" w:rsidRPr="004B6CB5">
        <w:rPr>
          <w:rFonts w:cs="ArialMT"/>
          <w:color w:val="000000"/>
          <w:sz w:val="20"/>
          <w:szCs w:val="20"/>
        </w:rPr>
        <w:t>period</w:t>
      </w:r>
      <w:r w:rsidRPr="004B6CB5">
        <w:rPr>
          <w:rFonts w:cs="ArialMT"/>
          <w:color w:val="000000"/>
          <w:sz w:val="20"/>
          <w:szCs w:val="20"/>
        </w:rPr>
        <w:t xml:space="preserve"> that COBRA continuation coverage</w:t>
      </w:r>
      <w:r w:rsidR="00121556">
        <w:rPr>
          <w:rFonts w:cs="ArialMT"/>
          <w:color w:val="000000"/>
          <w:sz w:val="20"/>
          <w:szCs w:val="20"/>
        </w:rPr>
        <w:t xml:space="preserve"> </w:t>
      </w:r>
      <w:r w:rsidRPr="004B6CB5">
        <w:rPr>
          <w:rFonts w:cs="ArialMT"/>
          <w:color w:val="000000"/>
          <w:sz w:val="20"/>
          <w:szCs w:val="20"/>
        </w:rPr>
        <w:t xml:space="preserve">is available) is </w:t>
      </w:r>
      <w:r w:rsidRPr="00121556">
        <w:rPr>
          <w:rFonts w:cs="ArialMT"/>
          <w:b/>
          <w:bCs/>
          <w:color w:val="000000"/>
          <w:sz w:val="20"/>
          <w:szCs w:val="20"/>
        </w:rPr>
        <w:t xml:space="preserve">18 months for employee qualifying events </w:t>
      </w:r>
      <w:r w:rsidRPr="004B6CB5">
        <w:rPr>
          <w:rFonts w:cs="ArialMT"/>
          <w:color w:val="000000"/>
          <w:sz w:val="20"/>
          <w:szCs w:val="20"/>
        </w:rPr>
        <w:t>(termination and reduction of hours) and</w:t>
      </w:r>
      <w:r w:rsidR="0022476E">
        <w:rPr>
          <w:rFonts w:cs="ArialMT"/>
          <w:color w:val="000000"/>
          <w:sz w:val="20"/>
          <w:szCs w:val="20"/>
        </w:rPr>
        <w:t xml:space="preserve"> </w:t>
      </w:r>
      <w:r w:rsidRPr="00121556">
        <w:rPr>
          <w:rFonts w:cs="ArialMT"/>
          <w:b/>
          <w:bCs/>
          <w:color w:val="000000"/>
          <w:sz w:val="20"/>
          <w:szCs w:val="20"/>
        </w:rPr>
        <w:t>36 months for spouse and dependent qualifying events</w:t>
      </w:r>
      <w:r w:rsidRPr="004B6CB5">
        <w:rPr>
          <w:rFonts w:cs="ArialMT"/>
          <w:color w:val="000000"/>
          <w:sz w:val="20"/>
          <w:szCs w:val="20"/>
        </w:rPr>
        <w:t xml:space="preserve">. </w:t>
      </w:r>
    </w:p>
    <w:p w14:paraId="68A1EDAD" w14:textId="2727EE60" w:rsidR="0022476E" w:rsidRDefault="0022476E" w:rsidP="00F24A32">
      <w:pPr>
        <w:autoSpaceDE w:val="0"/>
        <w:autoSpaceDN w:val="0"/>
        <w:adjustRightInd w:val="0"/>
        <w:spacing w:after="0" w:line="240" w:lineRule="auto"/>
        <w:rPr>
          <w:rFonts w:cs="ArialMT"/>
          <w:color w:val="000000"/>
          <w:sz w:val="20"/>
          <w:szCs w:val="20"/>
        </w:rPr>
      </w:pPr>
    </w:p>
    <w:p w14:paraId="41F09B43" w14:textId="55A12549" w:rsidR="0022476E" w:rsidRPr="004B6CB5" w:rsidRDefault="0022476E" w:rsidP="00F24A32">
      <w:pPr>
        <w:autoSpaceDE w:val="0"/>
        <w:autoSpaceDN w:val="0"/>
        <w:adjustRightInd w:val="0"/>
        <w:spacing w:after="0" w:line="240" w:lineRule="auto"/>
        <w:rPr>
          <w:rFonts w:cs="ArialMT"/>
          <w:color w:val="000000"/>
          <w:sz w:val="20"/>
          <w:szCs w:val="20"/>
        </w:rPr>
      </w:pPr>
      <w:r>
        <w:rPr>
          <w:rFonts w:cs="ArialMT"/>
          <w:color w:val="000000"/>
          <w:sz w:val="20"/>
          <w:szCs w:val="20"/>
        </w:rPr>
        <w:t xml:space="preserve">If there is a qualified beneficiary on the plan </w:t>
      </w:r>
      <w:r w:rsidR="00A57D0B">
        <w:rPr>
          <w:rFonts w:cs="ArialMT"/>
          <w:color w:val="000000"/>
          <w:sz w:val="20"/>
          <w:szCs w:val="20"/>
        </w:rPr>
        <w:t>becomes</w:t>
      </w:r>
      <w:r>
        <w:rPr>
          <w:rFonts w:cs="ArialMT"/>
          <w:color w:val="000000"/>
          <w:sz w:val="20"/>
          <w:szCs w:val="20"/>
        </w:rPr>
        <w:t xml:space="preserve"> eligible for a disability extension (individual is determined to be disabled by the Social Security Administration before the 60</w:t>
      </w:r>
      <w:r w:rsidRPr="0022476E">
        <w:rPr>
          <w:rFonts w:cs="ArialMT"/>
          <w:color w:val="000000"/>
          <w:sz w:val="20"/>
          <w:szCs w:val="20"/>
          <w:vertAlign w:val="superscript"/>
        </w:rPr>
        <w:t>th</w:t>
      </w:r>
      <w:r>
        <w:rPr>
          <w:rFonts w:cs="ArialMT"/>
          <w:color w:val="000000"/>
          <w:sz w:val="20"/>
          <w:szCs w:val="20"/>
        </w:rPr>
        <w:t xml:space="preserve"> day of COBRA coverage), an 11-month extension </w:t>
      </w:r>
      <w:r>
        <w:rPr>
          <w:rFonts w:cs="ArialMT"/>
          <w:color w:val="000000"/>
          <w:sz w:val="20"/>
          <w:szCs w:val="20"/>
        </w:rPr>
        <w:lastRenderedPageBreak/>
        <w:t>begins at the conclusion of the original 18 months of coverage.  (The qualified beneficiary would need to contact the COBRA administrator).</w:t>
      </w:r>
    </w:p>
    <w:p w14:paraId="7A93C472" w14:textId="11E4420D" w:rsidR="00F24A32" w:rsidRPr="004B6CB5" w:rsidRDefault="00F24A32" w:rsidP="00F24A32">
      <w:pPr>
        <w:autoSpaceDE w:val="0"/>
        <w:autoSpaceDN w:val="0"/>
        <w:adjustRightInd w:val="0"/>
        <w:spacing w:after="0" w:line="240" w:lineRule="auto"/>
        <w:rPr>
          <w:rFonts w:cs="ArialMT"/>
          <w:color w:val="000000"/>
          <w:sz w:val="20"/>
          <w:szCs w:val="20"/>
        </w:rPr>
      </w:pPr>
    </w:p>
    <w:p w14:paraId="3F86DCC6" w14:textId="77777777" w:rsidR="00F24A32" w:rsidRPr="00121556" w:rsidRDefault="00F24A32" w:rsidP="00121556">
      <w:pPr>
        <w:shd w:val="clear" w:color="auto" w:fill="D9D9D9" w:themeFill="background1" w:themeFillShade="D9"/>
        <w:autoSpaceDE w:val="0"/>
        <w:autoSpaceDN w:val="0"/>
        <w:adjustRightInd w:val="0"/>
        <w:spacing w:after="0" w:line="240" w:lineRule="auto"/>
        <w:rPr>
          <w:rFonts w:cs="Arial-BoldMT"/>
          <w:b/>
          <w:bCs/>
          <w:color w:val="2F5496" w:themeColor="accent1" w:themeShade="BF"/>
          <w:sz w:val="20"/>
          <w:szCs w:val="20"/>
        </w:rPr>
      </w:pPr>
      <w:r w:rsidRPr="00121556">
        <w:rPr>
          <w:rFonts w:cs="Arial-BoldMT"/>
          <w:b/>
          <w:bCs/>
          <w:color w:val="2F5496" w:themeColor="accent1" w:themeShade="BF"/>
          <w:sz w:val="20"/>
          <w:szCs w:val="20"/>
        </w:rPr>
        <w:t>Election Notice</w:t>
      </w:r>
    </w:p>
    <w:p w14:paraId="516EE72B" w14:textId="77777777" w:rsidR="00703DAD" w:rsidRDefault="00703DAD" w:rsidP="00F24A32">
      <w:pPr>
        <w:autoSpaceDE w:val="0"/>
        <w:autoSpaceDN w:val="0"/>
        <w:adjustRightInd w:val="0"/>
        <w:spacing w:after="0" w:line="240" w:lineRule="auto"/>
        <w:rPr>
          <w:rFonts w:cs="ArialMT"/>
          <w:color w:val="000000"/>
          <w:sz w:val="20"/>
          <w:szCs w:val="20"/>
        </w:rPr>
      </w:pPr>
    </w:p>
    <w:p w14:paraId="04014823" w14:textId="3C782D0B" w:rsidR="00F24A32" w:rsidRPr="004B6CB5" w:rsidRDefault="00F24A32" w:rsidP="00F24A32">
      <w:pPr>
        <w:autoSpaceDE w:val="0"/>
        <w:autoSpaceDN w:val="0"/>
        <w:adjustRightInd w:val="0"/>
        <w:spacing w:after="0" w:line="240" w:lineRule="auto"/>
        <w:rPr>
          <w:rFonts w:cs="ArialMT"/>
          <w:color w:val="000000"/>
          <w:sz w:val="20"/>
          <w:szCs w:val="20"/>
        </w:rPr>
      </w:pPr>
      <w:r w:rsidRPr="004B6CB5">
        <w:rPr>
          <w:rFonts w:cs="ArialMT"/>
          <w:color w:val="000000"/>
          <w:sz w:val="20"/>
          <w:szCs w:val="20"/>
        </w:rPr>
        <w:t xml:space="preserve">The Election Notice is given to qualified beneficiaries upon the occurrence of a qualifying event and includes information about the type of qualifying event, the date of qualifying event, the loss of coverage date, the election period expiration date, the type(s) of coverage available, the premium amounts and due dates, an explanation of separate election rights, the length of the continuation coverage period, the reasons why coverage may be terminated, and the name, address, and phone number of the plan administrator. This notice must be provided within 14 days of the qualifying event. If the employer and plan administrator are not the same, the employer has </w:t>
      </w:r>
      <w:r w:rsidRPr="004B6CB5">
        <w:rPr>
          <w:rFonts w:cs="ArialMT"/>
          <w:b/>
          <w:bCs/>
          <w:color w:val="000000"/>
          <w:sz w:val="20"/>
          <w:szCs w:val="20"/>
        </w:rPr>
        <w:t>30</w:t>
      </w:r>
      <w:r w:rsidRPr="004B6CB5">
        <w:rPr>
          <w:rFonts w:cs="ArialMT"/>
          <w:color w:val="000000"/>
          <w:sz w:val="20"/>
          <w:szCs w:val="20"/>
        </w:rPr>
        <w:t xml:space="preserve"> days to notify the plan administrator that a qualifying event has </w:t>
      </w:r>
      <w:r w:rsidR="008A1E8F" w:rsidRPr="004B6CB5">
        <w:rPr>
          <w:rFonts w:cs="ArialMT"/>
          <w:color w:val="000000"/>
          <w:sz w:val="20"/>
          <w:szCs w:val="20"/>
        </w:rPr>
        <w:t>occurred,</w:t>
      </w:r>
      <w:r w:rsidRPr="004B6CB5">
        <w:rPr>
          <w:rFonts w:cs="ArialMT"/>
          <w:color w:val="000000"/>
          <w:sz w:val="20"/>
          <w:szCs w:val="20"/>
        </w:rPr>
        <w:t xml:space="preserve"> and the plan administrator then has 14 days in which to provide the Election Notice.</w:t>
      </w:r>
    </w:p>
    <w:p w14:paraId="04331D1E" w14:textId="37F0C75D" w:rsidR="00BC4CD0" w:rsidRPr="004B6CB5" w:rsidRDefault="00BC4CD0" w:rsidP="00F24A32">
      <w:pPr>
        <w:autoSpaceDE w:val="0"/>
        <w:autoSpaceDN w:val="0"/>
        <w:adjustRightInd w:val="0"/>
        <w:spacing w:after="0" w:line="240" w:lineRule="auto"/>
        <w:rPr>
          <w:rFonts w:cs="ArialMT"/>
          <w:color w:val="000000"/>
          <w:sz w:val="20"/>
          <w:szCs w:val="20"/>
        </w:rPr>
      </w:pPr>
    </w:p>
    <w:p w14:paraId="7BD9AFA0" w14:textId="7276C33B" w:rsidR="00BC4CD0" w:rsidRDefault="00BC4CD0" w:rsidP="00F741E9">
      <w:pPr>
        <w:autoSpaceDE w:val="0"/>
        <w:autoSpaceDN w:val="0"/>
        <w:adjustRightInd w:val="0"/>
        <w:spacing w:after="0" w:line="240" w:lineRule="auto"/>
        <w:rPr>
          <w:rFonts w:cs="ArialMT"/>
          <w:sz w:val="20"/>
          <w:szCs w:val="20"/>
        </w:rPr>
      </w:pPr>
      <w:r w:rsidRPr="00F741E9">
        <w:rPr>
          <w:rFonts w:cs="ArialMT"/>
          <w:sz w:val="20"/>
          <w:szCs w:val="20"/>
        </w:rPr>
        <w:t xml:space="preserve">Group health plans must allow qualified beneficiaries to pay for coverage </w:t>
      </w:r>
      <w:r w:rsidR="008A1E8F" w:rsidRPr="00F741E9">
        <w:rPr>
          <w:rFonts w:cs="ArialMT"/>
          <w:sz w:val="20"/>
          <w:szCs w:val="20"/>
        </w:rPr>
        <w:t>monthly</w:t>
      </w:r>
      <w:r w:rsidRPr="00F741E9">
        <w:rPr>
          <w:rFonts w:cs="ArialMT"/>
          <w:sz w:val="20"/>
          <w:szCs w:val="20"/>
        </w:rPr>
        <w:t>. To maintain coverage, qualified beneficiaries must make timely payments for all premiums due.</w:t>
      </w:r>
      <w:r w:rsidR="00F958F8">
        <w:rPr>
          <w:rFonts w:cs="ArialMT"/>
          <w:sz w:val="20"/>
          <w:szCs w:val="20"/>
        </w:rPr>
        <w:t xml:space="preserve">  </w:t>
      </w:r>
      <w:r w:rsidRPr="00F741E9">
        <w:rPr>
          <w:rFonts w:cs="Arial-BoldMT"/>
          <w:b/>
          <w:bCs/>
          <w:sz w:val="20"/>
          <w:szCs w:val="20"/>
        </w:rPr>
        <w:t xml:space="preserve">Timely payments </w:t>
      </w:r>
      <w:r w:rsidRPr="00F741E9">
        <w:rPr>
          <w:rFonts w:cs="ArialMT"/>
          <w:sz w:val="20"/>
          <w:szCs w:val="20"/>
        </w:rPr>
        <w:t xml:space="preserve">are payments </w:t>
      </w:r>
      <w:r w:rsidRPr="00F741E9">
        <w:rPr>
          <w:rFonts w:cs="ArialMT"/>
          <w:b/>
          <w:bCs/>
          <w:sz w:val="20"/>
          <w:szCs w:val="20"/>
        </w:rPr>
        <w:t>made within 45 days after the election date</w:t>
      </w:r>
      <w:r w:rsidRPr="00F741E9">
        <w:rPr>
          <w:rFonts w:cs="ArialMT"/>
          <w:sz w:val="20"/>
          <w:szCs w:val="20"/>
        </w:rPr>
        <w:t xml:space="preserve"> (for the first payment)</w:t>
      </w:r>
      <w:r w:rsidR="00F741E9" w:rsidRPr="00F741E9">
        <w:rPr>
          <w:rFonts w:cs="ArialMT"/>
          <w:sz w:val="20"/>
          <w:szCs w:val="20"/>
        </w:rPr>
        <w:t xml:space="preserve"> </w:t>
      </w:r>
      <w:r w:rsidRPr="00F741E9">
        <w:rPr>
          <w:rFonts w:cs="ArialMT"/>
          <w:sz w:val="20"/>
          <w:szCs w:val="20"/>
        </w:rPr>
        <w:t xml:space="preserve">and </w:t>
      </w:r>
      <w:r w:rsidRPr="00F741E9">
        <w:rPr>
          <w:rFonts w:cs="ArialMT"/>
          <w:b/>
          <w:bCs/>
          <w:sz w:val="20"/>
          <w:szCs w:val="20"/>
        </w:rPr>
        <w:t>within 30 days</w:t>
      </w:r>
      <w:r w:rsidRPr="00F741E9">
        <w:rPr>
          <w:rFonts w:cs="ArialMT"/>
          <w:sz w:val="20"/>
          <w:szCs w:val="20"/>
        </w:rPr>
        <w:t xml:space="preserve"> after the first day of each </w:t>
      </w:r>
      <w:r w:rsidR="00F741E9">
        <w:rPr>
          <w:rFonts w:cs="ArialMT"/>
          <w:sz w:val="20"/>
          <w:szCs w:val="20"/>
        </w:rPr>
        <w:t>subsequent coverage period.  The qualify beneficiary must make each payment within 30 days of the date a payment is due.  (Example, if the employee ha</w:t>
      </w:r>
      <w:r w:rsidR="00703DAD">
        <w:rPr>
          <w:rFonts w:cs="ArialMT"/>
          <w:sz w:val="20"/>
          <w:szCs w:val="20"/>
        </w:rPr>
        <w:t>s</w:t>
      </w:r>
      <w:r w:rsidR="00F741E9">
        <w:rPr>
          <w:rFonts w:cs="ArialMT"/>
          <w:sz w:val="20"/>
          <w:szCs w:val="20"/>
        </w:rPr>
        <w:t xml:space="preserve"> been paying COBRA premiums, premium is due the first of the month (May 1) of coverage, but no later than 30 days (May 30) or coverage will be terminated.</w:t>
      </w:r>
    </w:p>
    <w:p w14:paraId="512C904A" w14:textId="35A8496A" w:rsidR="00E74F1E" w:rsidRDefault="00E74F1E" w:rsidP="00F741E9">
      <w:pPr>
        <w:autoSpaceDE w:val="0"/>
        <w:autoSpaceDN w:val="0"/>
        <w:adjustRightInd w:val="0"/>
        <w:spacing w:after="0" w:line="240" w:lineRule="auto"/>
        <w:rPr>
          <w:rFonts w:cs="ArialMT"/>
          <w:sz w:val="20"/>
          <w:szCs w:val="20"/>
        </w:rPr>
      </w:pPr>
    </w:p>
    <w:p w14:paraId="127A6B24" w14:textId="01EF16BC" w:rsidR="00BC4CD0" w:rsidRPr="00F741E9" w:rsidRDefault="00BC4CD0" w:rsidP="008C7882">
      <w:pPr>
        <w:shd w:val="clear" w:color="auto" w:fill="D9D9D9" w:themeFill="background1" w:themeFillShade="D9"/>
        <w:autoSpaceDE w:val="0"/>
        <w:autoSpaceDN w:val="0"/>
        <w:adjustRightInd w:val="0"/>
        <w:spacing w:after="0" w:line="240" w:lineRule="auto"/>
        <w:rPr>
          <w:rFonts w:ascii="DINOT-Bold" w:hAnsi="DINOT-Bold" w:cs="DINOT-Bold"/>
          <w:b/>
          <w:bCs/>
          <w:color w:val="4472C4" w:themeColor="accent1"/>
          <w:sz w:val="20"/>
          <w:szCs w:val="20"/>
          <w:shd w:val="clear" w:color="auto" w:fill="D9D9D9" w:themeFill="background1" w:themeFillShade="D9"/>
        </w:rPr>
      </w:pPr>
      <w:r w:rsidRPr="00F741E9">
        <w:rPr>
          <w:rFonts w:ascii="DINOT-Bold" w:hAnsi="DINOT-Bold" w:cs="DINOT-Bold"/>
          <w:b/>
          <w:bCs/>
          <w:color w:val="4472C4" w:themeColor="accent1"/>
          <w:sz w:val="20"/>
          <w:szCs w:val="20"/>
          <w:shd w:val="clear" w:color="auto" w:fill="D9D9D9" w:themeFill="background1" w:themeFillShade="D9"/>
        </w:rPr>
        <w:t>Paying for COBRA Coverage</w:t>
      </w:r>
    </w:p>
    <w:p w14:paraId="55764C78" w14:textId="36607C13" w:rsidR="00BC4CD0" w:rsidRPr="00B47995" w:rsidRDefault="00BC4CD0" w:rsidP="00F24A32">
      <w:pPr>
        <w:autoSpaceDE w:val="0"/>
        <w:autoSpaceDN w:val="0"/>
        <w:adjustRightInd w:val="0"/>
        <w:spacing w:after="0" w:line="240" w:lineRule="auto"/>
        <w:rPr>
          <w:rFonts w:ascii="DINOT-Bold" w:hAnsi="DINOT-Bold" w:cs="DINOT-Bold"/>
          <w:b/>
          <w:bCs/>
          <w:color w:val="ED7D31" w:themeColor="accent2"/>
          <w:sz w:val="20"/>
          <w:szCs w:val="20"/>
        </w:rPr>
      </w:pPr>
    </w:p>
    <w:p w14:paraId="2E84AEA2" w14:textId="7FFE3125" w:rsidR="00BC4CD0" w:rsidRPr="00703DAD" w:rsidRDefault="00BC4CD0" w:rsidP="00BC4CD0">
      <w:pPr>
        <w:autoSpaceDE w:val="0"/>
        <w:autoSpaceDN w:val="0"/>
        <w:adjustRightInd w:val="0"/>
        <w:spacing w:after="0" w:line="240" w:lineRule="auto"/>
        <w:rPr>
          <w:rFonts w:cs="ArialMT"/>
          <w:sz w:val="20"/>
          <w:szCs w:val="20"/>
        </w:rPr>
      </w:pPr>
      <w:r w:rsidRPr="00703DAD">
        <w:rPr>
          <w:rFonts w:cs="ArialMT"/>
          <w:sz w:val="20"/>
          <w:szCs w:val="20"/>
        </w:rPr>
        <w:t>In the absence of any severance or other agreement to the contrary, qualified beneficiaries must pay for COBRA continuation coverage. A group health plan may charge 102 percent of the applicable premium during standard COBRA coverage periods and 150 percent of the applicable premium during an 11-month disability period.</w:t>
      </w:r>
      <w:r w:rsidR="00F741E9" w:rsidRPr="00703DAD">
        <w:rPr>
          <w:rFonts w:cs="ArialMT"/>
          <w:sz w:val="20"/>
          <w:szCs w:val="20"/>
        </w:rPr>
        <w:t xml:space="preserve"> Payment is made to the COBRA administrator.</w:t>
      </w:r>
    </w:p>
    <w:p w14:paraId="42E1DE7E" w14:textId="77777777" w:rsidR="007C6730" w:rsidRPr="00B47995" w:rsidRDefault="007C6730" w:rsidP="00F24A32">
      <w:pPr>
        <w:autoSpaceDE w:val="0"/>
        <w:autoSpaceDN w:val="0"/>
        <w:adjustRightInd w:val="0"/>
        <w:spacing w:after="0" w:line="240" w:lineRule="auto"/>
        <w:rPr>
          <w:rFonts w:cs="ArialMT"/>
          <w:color w:val="ED7D31" w:themeColor="accent2"/>
          <w:sz w:val="20"/>
          <w:szCs w:val="20"/>
        </w:rPr>
      </w:pPr>
    </w:p>
    <w:p w14:paraId="4039183E" w14:textId="5E50E610" w:rsidR="00F24A32" w:rsidRPr="00703DAD" w:rsidRDefault="00F24A32" w:rsidP="008C7882">
      <w:pPr>
        <w:shd w:val="clear" w:color="auto" w:fill="D9D9D9" w:themeFill="background1" w:themeFillShade="D9"/>
        <w:autoSpaceDE w:val="0"/>
        <w:autoSpaceDN w:val="0"/>
        <w:adjustRightInd w:val="0"/>
        <w:spacing w:after="0" w:line="240" w:lineRule="auto"/>
        <w:rPr>
          <w:rFonts w:cs="Arial-BoldMT"/>
          <w:b/>
          <w:bCs/>
          <w:color w:val="4472C4" w:themeColor="accent1"/>
          <w:sz w:val="20"/>
          <w:szCs w:val="20"/>
          <w:shd w:val="clear" w:color="auto" w:fill="D9D9D9" w:themeFill="background1" w:themeFillShade="D9"/>
        </w:rPr>
      </w:pPr>
      <w:r w:rsidRPr="00703DAD">
        <w:rPr>
          <w:rFonts w:cs="Arial-BoldMT"/>
          <w:b/>
          <w:bCs/>
          <w:color w:val="4472C4" w:themeColor="accent1"/>
          <w:sz w:val="20"/>
          <w:szCs w:val="20"/>
          <w:shd w:val="clear" w:color="auto" w:fill="D9D9D9" w:themeFill="background1" w:themeFillShade="D9"/>
        </w:rPr>
        <w:t>Notice of Early Termination</w:t>
      </w:r>
    </w:p>
    <w:p w14:paraId="6096EC5F" w14:textId="77777777" w:rsidR="00703DAD" w:rsidRPr="00703DAD" w:rsidRDefault="00703DAD" w:rsidP="00F24A32">
      <w:pPr>
        <w:autoSpaceDE w:val="0"/>
        <w:autoSpaceDN w:val="0"/>
        <w:adjustRightInd w:val="0"/>
        <w:spacing w:after="0" w:line="240" w:lineRule="auto"/>
        <w:rPr>
          <w:rFonts w:cs="Arial-BoldMT"/>
          <w:b/>
          <w:bCs/>
          <w:color w:val="ED7D31" w:themeColor="accent2"/>
          <w:sz w:val="20"/>
          <w:szCs w:val="20"/>
          <w:shd w:val="clear" w:color="auto" w:fill="D9D9D9" w:themeFill="background1" w:themeFillShade="D9"/>
        </w:rPr>
      </w:pPr>
    </w:p>
    <w:p w14:paraId="1C6AEA79" w14:textId="2140A268" w:rsidR="007B19D3" w:rsidRDefault="00F24A32" w:rsidP="00F24A32">
      <w:pPr>
        <w:autoSpaceDE w:val="0"/>
        <w:autoSpaceDN w:val="0"/>
        <w:adjustRightInd w:val="0"/>
        <w:spacing w:after="0" w:line="240" w:lineRule="auto"/>
        <w:rPr>
          <w:rFonts w:cs="ArialMT"/>
          <w:sz w:val="20"/>
          <w:szCs w:val="20"/>
        </w:rPr>
      </w:pPr>
      <w:r w:rsidRPr="00703DAD">
        <w:rPr>
          <w:rFonts w:cs="ArialMT"/>
          <w:sz w:val="20"/>
          <w:szCs w:val="20"/>
        </w:rPr>
        <w:t>Whenever a qualified beneficiary loses COBRA</w:t>
      </w:r>
      <w:r w:rsidR="00BC4CD0" w:rsidRPr="00703DAD">
        <w:rPr>
          <w:rFonts w:cs="ArialMT"/>
          <w:sz w:val="20"/>
          <w:szCs w:val="20"/>
        </w:rPr>
        <w:t xml:space="preserve"> </w:t>
      </w:r>
      <w:r w:rsidRPr="00703DAD">
        <w:rPr>
          <w:rFonts w:cs="ArialMT"/>
          <w:sz w:val="20"/>
          <w:szCs w:val="20"/>
        </w:rPr>
        <w:t>continuation coverage for any reason other than</w:t>
      </w:r>
      <w:r w:rsidR="00BC4CD0" w:rsidRPr="00703DAD">
        <w:rPr>
          <w:rFonts w:cs="ArialMT"/>
          <w:sz w:val="20"/>
          <w:szCs w:val="20"/>
        </w:rPr>
        <w:t xml:space="preserve"> </w:t>
      </w:r>
      <w:r w:rsidRPr="00703DAD">
        <w:rPr>
          <w:rFonts w:cs="ArialMT"/>
          <w:sz w:val="20"/>
          <w:szCs w:val="20"/>
        </w:rPr>
        <w:t>reaching the end of the maximum coverage period</w:t>
      </w:r>
      <w:r w:rsidR="00BC4CD0" w:rsidRPr="00703DAD">
        <w:rPr>
          <w:rFonts w:cs="ArialMT"/>
          <w:sz w:val="20"/>
          <w:szCs w:val="20"/>
        </w:rPr>
        <w:t xml:space="preserve"> </w:t>
      </w:r>
      <w:r w:rsidRPr="00703DAD">
        <w:rPr>
          <w:rFonts w:cs="ArialMT"/>
          <w:sz w:val="20"/>
          <w:szCs w:val="20"/>
        </w:rPr>
        <w:t>(18 or 36 months, depending on the qualifying</w:t>
      </w:r>
      <w:r w:rsidR="00BC4CD0" w:rsidRPr="00703DAD">
        <w:rPr>
          <w:rFonts w:cs="ArialMT"/>
          <w:sz w:val="20"/>
          <w:szCs w:val="20"/>
        </w:rPr>
        <w:t xml:space="preserve"> </w:t>
      </w:r>
      <w:r w:rsidRPr="00703DAD">
        <w:rPr>
          <w:rFonts w:cs="ArialMT"/>
          <w:sz w:val="20"/>
          <w:szCs w:val="20"/>
        </w:rPr>
        <w:t>event), the</w:t>
      </w:r>
      <w:r w:rsidR="00703DAD" w:rsidRPr="00703DAD">
        <w:rPr>
          <w:rFonts w:cs="ArialMT"/>
          <w:sz w:val="20"/>
          <w:szCs w:val="20"/>
        </w:rPr>
        <w:t xml:space="preserve"> COBRA administrator will provide a notice that identifies the date of coverage termination and the reason for the loss of coverage.</w:t>
      </w:r>
    </w:p>
    <w:p w14:paraId="624E5932" w14:textId="77777777" w:rsidR="00765463" w:rsidRDefault="00765463" w:rsidP="00F24A32">
      <w:pPr>
        <w:autoSpaceDE w:val="0"/>
        <w:autoSpaceDN w:val="0"/>
        <w:adjustRightInd w:val="0"/>
        <w:spacing w:after="0" w:line="240" w:lineRule="auto"/>
        <w:rPr>
          <w:rFonts w:cs="ArialMT"/>
          <w:sz w:val="20"/>
          <w:szCs w:val="20"/>
        </w:rPr>
      </w:pPr>
    </w:p>
    <w:p w14:paraId="6E8636B5" w14:textId="5B5DAF88" w:rsidR="00BC4CD0" w:rsidRPr="004B6CB5" w:rsidRDefault="00BC4CD0" w:rsidP="00F24A32">
      <w:pPr>
        <w:autoSpaceDE w:val="0"/>
        <w:autoSpaceDN w:val="0"/>
        <w:adjustRightInd w:val="0"/>
        <w:spacing w:after="0" w:line="240" w:lineRule="auto"/>
        <w:rPr>
          <w:rFonts w:cs="ArialMT"/>
          <w:color w:val="000000"/>
          <w:sz w:val="20"/>
          <w:szCs w:val="20"/>
        </w:rPr>
      </w:pPr>
    </w:p>
    <w:p w14:paraId="4D5E7A23" w14:textId="6C3F187A" w:rsidR="007B19D3" w:rsidRPr="004B6CB5" w:rsidRDefault="007B19D3" w:rsidP="00EE0F7C">
      <w:pPr>
        <w:autoSpaceDE w:val="0"/>
        <w:autoSpaceDN w:val="0"/>
        <w:adjustRightInd w:val="0"/>
        <w:spacing w:after="0" w:line="240" w:lineRule="auto"/>
        <w:rPr>
          <w:rFonts w:cs="DINOT-Bold"/>
          <w:b/>
          <w:bCs/>
          <w:color w:val="FF5A33"/>
          <w:sz w:val="20"/>
          <w:szCs w:val="20"/>
        </w:rPr>
        <w:sectPr w:rsidR="007B19D3" w:rsidRPr="004B6CB5" w:rsidSect="00AC771E">
          <w:type w:val="continuous"/>
          <w:pgSz w:w="12240" w:h="15840"/>
          <w:pgMar w:top="1440" w:right="1440" w:bottom="1440" w:left="1440" w:header="720" w:footer="720" w:gutter="0"/>
          <w:pgBorders w:offsetFrom="page">
            <w:top w:val="threeDEmboss" w:sz="24" w:space="24" w:color="4472C4" w:themeColor="accent1"/>
            <w:left w:val="threeDEmboss" w:sz="24" w:space="24" w:color="4472C4" w:themeColor="accent1"/>
            <w:bottom w:val="threeDEngrave" w:sz="24" w:space="24" w:color="4472C4" w:themeColor="accent1"/>
            <w:right w:val="threeDEngrave" w:sz="24" w:space="24" w:color="4472C4" w:themeColor="accent1"/>
          </w:pgBorders>
          <w:cols w:space="720"/>
          <w:docGrid w:linePitch="360"/>
        </w:sectPr>
      </w:pPr>
    </w:p>
    <w:p w14:paraId="582C58AD" w14:textId="5A000220" w:rsidR="00DF4C22" w:rsidRPr="004B6CB5" w:rsidRDefault="00DF4C22" w:rsidP="00EE0F7C">
      <w:pPr>
        <w:autoSpaceDE w:val="0"/>
        <w:autoSpaceDN w:val="0"/>
        <w:adjustRightInd w:val="0"/>
        <w:spacing w:after="0" w:line="240" w:lineRule="auto"/>
        <w:rPr>
          <w:rFonts w:cs="DINOT-Bold"/>
          <w:b/>
          <w:bCs/>
          <w:color w:val="FF5A33"/>
          <w:sz w:val="20"/>
          <w:szCs w:val="20"/>
        </w:rPr>
      </w:pPr>
    </w:p>
    <w:p w14:paraId="5AC3367A" w14:textId="2765B1FA" w:rsidR="00DF4C22" w:rsidRDefault="00DF4C22" w:rsidP="00EE0F7C">
      <w:pPr>
        <w:autoSpaceDE w:val="0"/>
        <w:autoSpaceDN w:val="0"/>
        <w:adjustRightInd w:val="0"/>
        <w:spacing w:after="0" w:line="240" w:lineRule="auto"/>
        <w:rPr>
          <w:rFonts w:cs="DINOT-Bold"/>
          <w:b/>
          <w:bCs/>
          <w:color w:val="FF5A33"/>
          <w:sz w:val="20"/>
          <w:szCs w:val="20"/>
        </w:rPr>
      </w:pPr>
    </w:p>
    <w:p w14:paraId="03698C6E" w14:textId="033D0BD1" w:rsidR="005D317B" w:rsidRDefault="005D317B" w:rsidP="00EE0F7C">
      <w:pPr>
        <w:autoSpaceDE w:val="0"/>
        <w:autoSpaceDN w:val="0"/>
        <w:adjustRightInd w:val="0"/>
        <w:spacing w:after="0" w:line="240" w:lineRule="auto"/>
        <w:rPr>
          <w:rFonts w:cs="DINOT-Bold"/>
          <w:b/>
          <w:bCs/>
          <w:color w:val="FF5A33"/>
          <w:sz w:val="20"/>
          <w:szCs w:val="20"/>
        </w:rPr>
      </w:pPr>
    </w:p>
    <w:p w14:paraId="57FAF8B6" w14:textId="52244944" w:rsidR="005D317B" w:rsidRDefault="005D317B" w:rsidP="00EE0F7C">
      <w:pPr>
        <w:autoSpaceDE w:val="0"/>
        <w:autoSpaceDN w:val="0"/>
        <w:adjustRightInd w:val="0"/>
        <w:spacing w:after="0" w:line="240" w:lineRule="auto"/>
        <w:rPr>
          <w:rFonts w:cs="DINOT-Bold"/>
          <w:b/>
          <w:bCs/>
          <w:color w:val="FF5A33"/>
          <w:sz w:val="20"/>
          <w:szCs w:val="20"/>
        </w:rPr>
      </w:pPr>
    </w:p>
    <w:p w14:paraId="551B9CCE" w14:textId="1F5B6248" w:rsidR="005D317B" w:rsidRDefault="005D317B" w:rsidP="00EE0F7C">
      <w:pPr>
        <w:autoSpaceDE w:val="0"/>
        <w:autoSpaceDN w:val="0"/>
        <w:adjustRightInd w:val="0"/>
        <w:spacing w:after="0" w:line="240" w:lineRule="auto"/>
        <w:rPr>
          <w:rFonts w:cs="DINOT-Bold"/>
          <w:b/>
          <w:bCs/>
          <w:color w:val="FF5A33"/>
          <w:sz w:val="20"/>
          <w:szCs w:val="20"/>
        </w:rPr>
      </w:pPr>
    </w:p>
    <w:p w14:paraId="0FD616A9" w14:textId="23301535" w:rsidR="005D317B" w:rsidRDefault="005D317B" w:rsidP="00EE0F7C">
      <w:pPr>
        <w:autoSpaceDE w:val="0"/>
        <w:autoSpaceDN w:val="0"/>
        <w:adjustRightInd w:val="0"/>
        <w:spacing w:after="0" w:line="240" w:lineRule="auto"/>
        <w:rPr>
          <w:rFonts w:cs="DINOT-Bold"/>
          <w:b/>
          <w:bCs/>
          <w:color w:val="FF5A33"/>
          <w:sz w:val="20"/>
          <w:szCs w:val="20"/>
        </w:rPr>
      </w:pPr>
    </w:p>
    <w:p w14:paraId="06AA547F" w14:textId="4F782F21" w:rsidR="005D317B" w:rsidRDefault="005D317B" w:rsidP="00EE0F7C">
      <w:pPr>
        <w:autoSpaceDE w:val="0"/>
        <w:autoSpaceDN w:val="0"/>
        <w:adjustRightInd w:val="0"/>
        <w:spacing w:after="0" w:line="240" w:lineRule="auto"/>
        <w:rPr>
          <w:rFonts w:cs="DINOT-Bold"/>
          <w:b/>
          <w:bCs/>
          <w:color w:val="FF5A33"/>
          <w:sz w:val="20"/>
          <w:szCs w:val="20"/>
        </w:rPr>
      </w:pPr>
    </w:p>
    <w:p w14:paraId="50B4D828" w14:textId="44D56833" w:rsidR="005D317B" w:rsidRDefault="005D317B" w:rsidP="00EE0F7C">
      <w:pPr>
        <w:autoSpaceDE w:val="0"/>
        <w:autoSpaceDN w:val="0"/>
        <w:adjustRightInd w:val="0"/>
        <w:spacing w:after="0" w:line="240" w:lineRule="auto"/>
        <w:rPr>
          <w:rFonts w:cs="DINOT-Bold"/>
          <w:b/>
          <w:bCs/>
          <w:color w:val="FF5A33"/>
          <w:sz w:val="20"/>
          <w:szCs w:val="20"/>
        </w:rPr>
      </w:pPr>
    </w:p>
    <w:p w14:paraId="7735E3D1" w14:textId="77777777" w:rsidR="005D317B" w:rsidRPr="004B6CB5" w:rsidRDefault="005D317B" w:rsidP="00EE0F7C">
      <w:pPr>
        <w:autoSpaceDE w:val="0"/>
        <w:autoSpaceDN w:val="0"/>
        <w:adjustRightInd w:val="0"/>
        <w:spacing w:after="0" w:line="240" w:lineRule="auto"/>
        <w:rPr>
          <w:rFonts w:cs="DINOT-Bold"/>
          <w:b/>
          <w:bCs/>
          <w:color w:val="FF5A33"/>
          <w:sz w:val="20"/>
          <w:szCs w:val="20"/>
        </w:rPr>
      </w:pPr>
    </w:p>
    <w:p w14:paraId="40697861" w14:textId="77777777" w:rsidR="00DF4C22" w:rsidRPr="004B6CB5" w:rsidRDefault="00DF4C22" w:rsidP="00EE0F7C">
      <w:pPr>
        <w:autoSpaceDE w:val="0"/>
        <w:autoSpaceDN w:val="0"/>
        <w:adjustRightInd w:val="0"/>
        <w:spacing w:after="0" w:line="240" w:lineRule="auto"/>
        <w:rPr>
          <w:rFonts w:cs="DINOT-Bold"/>
          <w:b/>
          <w:bCs/>
          <w:color w:val="FF5A33"/>
          <w:sz w:val="20"/>
          <w:szCs w:val="20"/>
        </w:rPr>
      </w:pPr>
    </w:p>
    <w:p w14:paraId="7A30A18F" w14:textId="77777777" w:rsidR="00DF4C22" w:rsidRPr="004B6CB5" w:rsidRDefault="00DF4C22" w:rsidP="00EE0F7C">
      <w:pPr>
        <w:autoSpaceDE w:val="0"/>
        <w:autoSpaceDN w:val="0"/>
        <w:adjustRightInd w:val="0"/>
        <w:spacing w:after="0" w:line="240" w:lineRule="auto"/>
        <w:rPr>
          <w:rFonts w:cs="DINOT-Bold"/>
          <w:b/>
          <w:bCs/>
          <w:color w:val="FF5A33"/>
          <w:sz w:val="20"/>
          <w:szCs w:val="20"/>
        </w:rPr>
        <w:sectPr w:rsidR="00DF4C22" w:rsidRPr="004B6CB5" w:rsidSect="00AC771E">
          <w:type w:val="continuous"/>
          <w:pgSz w:w="12240" w:h="15840"/>
          <w:pgMar w:top="1440" w:right="1440" w:bottom="1440" w:left="1440" w:header="720" w:footer="720" w:gutter="0"/>
          <w:pgBorders w:offsetFrom="page">
            <w:top w:val="threeDEmboss" w:sz="24" w:space="24" w:color="4472C4" w:themeColor="accent1"/>
            <w:left w:val="threeDEmboss" w:sz="24" w:space="24" w:color="4472C4" w:themeColor="accent1"/>
            <w:bottom w:val="threeDEngrave" w:sz="24" w:space="24" w:color="4472C4" w:themeColor="accent1"/>
            <w:right w:val="threeDEngrave" w:sz="24" w:space="24" w:color="4472C4" w:themeColor="accent1"/>
          </w:pgBorders>
          <w:cols w:space="720"/>
          <w:docGrid w:linePitch="360"/>
        </w:sectPr>
      </w:pPr>
    </w:p>
    <w:p w14:paraId="2712C467" w14:textId="293BE799" w:rsidR="00EE0F7C" w:rsidRPr="00703DAD" w:rsidRDefault="00EE0F7C" w:rsidP="008C7882">
      <w:pPr>
        <w:pBdr>
          <w:top w:val="single" w:sz="4" w:space="1" w:color="auto"/>
          <w:left w:val="single" w:sz="4" w:space="0"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DINOT-Bold"/>
          <w:color w:val="2F5496" w:themeColor="accent1" w:themeShade="BF"/>
          <w:sz w:val="20"/>
          <w:szCs w:val="20"/>
          <w:shd w:val="clear" w:color="auto" w:fill="D9D9D9" w:themeFill="background1" w:themeFillShade="D9"/>
        </w:rPr>
      </w:pPr>
      <w:r w:rsidRPr="00703DAD">
        <w:rPr>
          <w:rFonts w:cs="DINOT-Bold"/>
          <w:color w:val="2F5496" w:themeColor="accent1" w:themeShade="BF"/>
          <w:sz w:val="20"/>
          <w:szCs w:val="20"/>
          <w:shd w:val="clear" w:color="auto" w:fill="D9D9D9" w:themeFill="background1" w:themeFillShade="D9"/>
        </w:rPr>
        <w:t>About this Cheat Sheet</w:t>
      </w:r>
    </w:p>
    <w:p w14:paraId="16057757" w14:textId="77777777" w:rsidR="00EE0F7C" w:rsidRPr="00121556" w:rsidRDefault="00EE0F7C" w:rsidP="00703DA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ArialMT"/>
          <w:b/>
          <w:bCs/>
          <w:color w:val="2F5496" w:themeColor="accent1" w:themeShade="BF"/>
          <w:sz w:val="20"/>
          <w:szCs w:val="20"/>
        </w:rPr>
      </w:pPr>
      <w:r w:rsidRPr="00121556">
        <w:rPr>
          <w:rFonts w:cs="ArialMT"/>
          <w:b/>
          <w:bCs/>
          <w:color w:val="2F5496" w:themeColor="accent1" w:themeShade="BF"/>
          <w:sz w:val="20"/>
          <w:szCs w:val="20"/>
        </w:rPr>
        <w:t>We designed this Cheat Sheet to be an easy-to-use reference tool for the most important aspects of</w:t>
      </w:r>
    </w:p>
    <w:p w14:paraId="6AC008DD" w14:textId="77777777" w:rsidR="00EE0F7C" w:rsidRPr="00121556" w:rsidRDefault="00EE0F7C" w:rsidP="00703DA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ArialMT"/>
          <w:b/>
          <w:bCs/>
          <w:color w:val="2F5496" w:themeColor="accent1" w:themeShade="BF"/>
          <w:sz w:val="20"/>
          <w:szCs w:val="20"/>
        </w:rPr>
      </w:pPr>
      <w:r w:rsidRPr="00121556">
        <w:rPr>
          <w:rFonts w:cs="ArialMT"/>
          <w:b/>
          <w:bCs/>
          <w:color w:val="2F5496" w:themeColor="accent1" w:themeShade="BF"/>
          <w:sz w:val="20"/>
          <w:szCs w:val="20"/>
        </w:rPr>
        <w:t>COBRA. The rules and regulations governing COBRA continuation coverage are extensive and this Cheat</w:t>
      </w:r>
    </w:p>
    <w:p w14:paraId="5EFD7DDE" w14:textId="302500BB" w:rsidR="00EE0F7C" w:rsidRDefault="00EE0F7C" w:rsidP="00703DA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ArialMT"/>
          <w:b/>
          <w:bCs/>
          <w:color w:val="2F5496" w:themeColor="accent1" w:themeShade="BF"/>
          <w:sz w:val="20"/>
          <w:szCs w:val="20"/>
        </w:rPr>
      </w:pPr>
      <w:r w:rsidRPr="00121556">
        <w:rPr>
          <w:rFonts w:cs="ArialMT"/>
          <w:b/>
          <w:bCs/>
          <w:color w:val="2F5496" w:themeColor="accent1" w:themeShade="BF"/>
          <w:sz w:val="20"/>
          <w:szCs w:val="20"/>
        </w:rPr>
        <w:t xml:space="preserve">Sheet does not contain </w:t>
      </w:r>
      <w:r w:rsidR="008A1E8F" w:rsidRPr="00121556">
        <w:rPr>
          <w:rFonts w:cs="ArialMT"/>
          <w:b/>
          <w:bCs/>
          <w:color w:val="2F5496" w:themeColor="accent1" w:themeShade="BF"/>
          <w:sz w:val="20"/>
          <w:szCs w:val="20"/>
        </w:rPr>
        <w:t>all</w:t>
      </w:r>
      <w:r w:rsidRPr="00121556">
        <w:rPr>
          <w:rFonts w:cs="ArialMT"/>
          <w:b/>
          <w:bCs/>
          <w:color w:val="2F5496" w:themeColor="accent1" w:themeShade="BF"/>
          <w:sz w:val="20"/>
          <w:szCs w:val="20"/>
        </w:rPr>
        <w:t xml:space="preserve"> the information about any part of COBRA law. </w:t>
      </w:r>
      <w:r w:rsidR="008A1E8F" w:rsidRPr="00121556">
        <w:rPr>
          <w:rFonts w:cs="ArialMT"/>
          <w:b/>
          <w:bCs/>
          <w:color w:val="2F5496" w:themeColor="accent1" w:themeShade="BF"/>
          <w:sz w:val="20"/>
          <w:szCs w:val="20"/>
        </w:rPr>
        <w:t>It is</w:t>
      </w:r>
      <w:r w:rsidRPr="00121556">
        <w:rPr>
          <w:rFonts w:cs="ArialMT"/>
          <w:b/>
          <w:bCs/>
          <w:color w:val="2F5496" w:themeColor="accent1" w:themeShade="BF"/>
          <w:sz w:val="20"/>
          <w:szCs w:val="20"/>
        </w:rPr>
        <w:t xml:space="preserve"> simply a handy tool when</w:t>
      </w:r>
      <w:r w:rsidR="00685C44" w:rsidRPr="00121556">
        <w:rPr>
          <w:rFonts w:cs="ArialMT"/>
          <w:b/>
          <w:bCs/>
          <w:color w:val="2F5496" w:themeColor="accent1" w:themeShade="BF"/>
          <w:sz w:val="20"/>
          <w:szCs w:val="20"/>
        </w:rPr>
        <w:t xml:space="preserve"> </w:t>
      </w:r>
      <w:r w:rsidRPr="00121556">
        <w:rPr>
          <w:rFonts w:cs="ArialMT"/>
          <w:b/>
          <w:bCs/>
          <w:color w:val="2F5496" w:themeColor="accent1" w:themeShade="BF"/>
          <w:sz w:val="20"/>
          <w:szCs w:val="20"/>
        </w:rPr>
        <w:t xml:space="preserve">you need a quick reminder </w:t>
      </w:r>
      <w:r w:rsidR="00685C44" w:rsidRPr="00121556">
        <w:rPr>
          <w:rFonts w:cs="ArialMT"/>
          <w:b/>
          <w:bCs/>
          <w:color w:val="2F5496" w:themeColor="accent1" w:themeShade="BF"/>
          <w:sz w:val="20"/>
          <w:szCs w:val="20"/>
        </w:rPr>
        <w:t>of COBRA and its qualifying events.</w:t>
      </w:r>
    </w:p>
    <w:p w14:paraId="1699DEF4" w14:textId="280AE207" w:rsidR="005D317B" w:rsidRDefault="005D317B" w:rsidP="00703DA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ArialMT"/>
          <w:b/>
          <w:bCs/>
          <w:color w:val="2F5496" w:themeColor="accent1" w:themeShade="BF"/>
          <w:sz w:val="20"/>
          <w:szCs w:val="20"/>
        </w:rPr>
      </w:pPr>
    </w:p>
    <w:p w14:paraId="448DE08A" w14:textId="3377B02C" w:rsidR="005D317B" w:rsidRPr="00F958F8" w:rsidRDefault="005D317B" w:rsidP="00703DA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ArialMT"/>
          <w:color w:val="2F5496" w:themeColor="accent1" w:themeShade="BF"/>
          <w:sz w:val="20"/>
          <w:szCs w:val="20"/>
        </w:rPr>
      </w:pPr>
      <w:r>
        <w:rPr>
          <w:rFonts w:cs="ArialMT"/>
          <w:b/>
          <w:bCs/>
          <w:color w:val="2F5496" w:themeColor="accent1" w:themeShade="BF"/>
          <w:sz w:val="20"/>
          <w:szCs w:val="20"/>
        </w:rPr>
        <w:t>6-2021</w:t>
      </w:r>
    </w:p>
    <w:sectPr w:rsidR="005D317B" w:rsidRPr="00F958F8" w:rsidSect="00AC771E">
      <w:type w:val="continuous"/>
      <w:pgSz w:w="12240" w:h="15840"/>
      <w:pgMar w:top="1440" w:right="1440" w:bottom="1440" w:left="1440" w:header="720" w:footer="720" w:gutter="0"/>
      <w:pgBorders w:offsetFrom="page">
        <w:top w:val="threeDEmboss" w:sz="24" w:space="24" w:color="4472C4" w:themeColor="accent1"/>
        <w:left w:val="threeDEmboss" w:sz="24" w:space="24" w:color="4472C4" w:themeColor="accent1"/>
        <w:bottom w:val="threeDEngrave" w:sz="24" w:space="24" w:color="4472C4" w:themeColor="accent1"/>
        <w:right w:val="threeDEngrave" w:sz="2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DINO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4F8A"/>
    <w:multiLevelType w:val="hybridMultilevel"/>
    <w:tmpl w:val="21FC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F1F4C"/>
    <w:multiLevelType w:val="hybridMultilevel"/>
    <w:tmpl w:val="5B6EF7A4"/>
    <w:lvl w:ilvl="0" w:tplc="F4506AB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463AD"/>
    <w:multiLevelType w:val="hybridMultilevel"/>
    <w:tmpl w:val="81B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05853"/>
    <w:multiLevelType w:val="hybridMultilevel"/>
    <w:tmpl w:val="F618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CD"/>
    <w:rsid w:val="00121556"/>
    <w:rsid w:val="0014128E"/>
    <w:rsid w:val="0022476E"/>
    <w:rsid w:val="002542D3"/>
    <w:rsid w:val="002735C1"/>
    <w:rsid w:val="00277885"/>
    <w:rsid w:val="002862B9"/>
    <w:rsid w:val="002C0318"/>
    <w:rsid w:val="00407C98"/>
    <w:rsid w:val="00453DC8"/>
    <w:rsid w:val="004B6CB5"/>
    <w:rsid w:val="00526DF3"/>
    <w:rsid w:val="005C7447"/>
    <w:rsid w:val="005D317B"/>
    <w:rsid w:val="00685C44"/>
    <w:rsid w:val="006B0A0F"/>
    <w:rsid w:val="00703DAD"/>
    <w:rsid w:val="00765463"/>
    <w:rsid w:val="00783848"/>
    <w:rsid w:val="007B19D3"/>
    <w:rsid w:val="007C6730"/>
    <w:rsid w:val="007E6E1D"/>
    <w:rsid w:val="0084559B"/>
    <w:rsid w:val="00893B98"/>
    <w:rsid w:val="008A1E8F"/>
    <w:rsid w:val="008C7882"/>
    <w:rsid w:val="00A57D0B"/>
    <w:rsid w:val="00AC771E"/>
    <w:rsid w:val="00B16193"/>
    <w:rsid w:val="00B47995"/>
    <w:rsid w:val="00BC4CD0"/>
    <w:rsid w:val="00C13878"/>
    <w:rsid w:val="00C53CC3"/>
    <w:rsid w:val="00DB10CD"/>
    <w:rsid w:val="00DE22A1"/>
    <w:rsid w:val="00DF4C22"/>
    <w:rsid w:val="00E74F1E"/>
    <w:rsid w:val="00EB38CA"/>
    <w:rsid w:val="00ED7999"/>
    <w:rsid w:val="00EE0F7C"/>
    <w:rsid w:val="00F24A32"/>
    <w:rsid w:val="00F741E9"/>
    <w:rsid w:val="00F9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7E0F"/>
  <w15:chartTrackingRefBased/>
  <w15:docId w15:val="{6A919786-7578-4193-AEFB-6A514279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592D.E9342CB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B5A4-78E3-4F2C-93CF-713DC2F9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Hartenstein</dc:creator>
  <cp:keywords/>
  <dc:description/>
  <cp:lastModifiedBy>Sue Hartenstein</cp:lastModifiedBy>
  <cp:revision>2</cp:revision>
  <dcterms:created xsi:type="dcterms:W3CDTF">2021-07-15T16:58:00Z</dcterms:created>
  <dcterms:modified xsi:type="dcterms:W3CDTF">2021-07-15T16:58:00Z</dcterms:modified>
</cp:coreProperties>
</file>